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160"/>
        <w:spacing w:line="360" w:lineRule="auto"/>
        <w:rPr>
          <w:rFonts w:hint="eastAsia" w:ascii="CESI黑体-GB2312" w:hAnsi="CESI黑体-GB2312" w:eastAsia="CESI黑体-GB2312" w:cs="CESI黑体-GB2312"/>
          <w:color w:val="000000"/>
          <w:sz w:val="32"/>
          <w:szCs w:val="32"/>
          <w:highlight w:val="none"/>
        </w:rPr>
        <w:outlineLvl w:val="9"/>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127"/>
        <w:ind w:firstLine="300"/>
        <w:spacing w:line="360" w:lineRule="auto"/>
        <w:rPr>
          <w:color w:val="000000"/>
          <w:sz w:val="60"/>
          <w:szCs w:val="60"/>
          <w:highlight w:val="none"/>
        </w:rPr>
        <w:outlineLvl w:val="9"/>
      </w:pPr>
      <w:r>
        <w:rPr>
          <w:color w:val="000000"/>
          <w:sz w:val="60"/>
          <w:szCs w:val="60"/>
          <w:highlight w:val="none"/>
        </w:rPr>
      </w:r>
      <w:r/>
    </w:p>
    <w:p>
      <w:pPr>
        <w:pStyle w:val="1127"/>
        <w:jc w:val="center"/>
        <w:rPr>
          <w:b/>
          <w:bCs/>
          <w:color w:val="000000"/>
          <w:sz w:val="60"/>
          <w:szCs w:val="60"/>
          <w:highlight w:val="none"/>
        </w:rPr>
        <w:outlineLvl w:val="9"/>
      </w:pPr>
      <w:r>
        <w:rPr>
          <w:rFonts w:hint="eastAsia"/>
          <w:b/>
          <w:bCs/>
          <w:color w:val="000000"/>
          <w:sz w:val="60"/>
          <w:szCs w:val="60"/>
          <w:highlight w:val="none"/>
          <w:lang w:eastAsia="zh-CN"/>
        </w:rPr>
        <w:t xml:space="preserve">省厅金融证券大数据研判中心2026-2029年保安服务项目</w:t>
      </w:r>
      <w:r>
        <w:rPr>
          <w:b/>
          <w:bCs/>
          <w:color w:val="000000"/>
          <w:sz w:val="60"/>
          <w:szCs w:val="60"/>
          <w:highlight w:val="none"/>
        </w:rPr>
        <w:t xml:space="preserve">竞争性磋商文件</w:t>
      </w:r>
      <w:r>
        <w:rPr>
          <w:b/>
          <w:bCs/>
          <w:color w:val="000000"/>
          <w:sz w:val="60"/>
          <w:szCs w:val="60"/>
          <w:highlight w:val="none"/>
        </w:rPr>
      </w:r>
      <w:r/>
    </w:p>
    <w:p>
      <w:pPr>
        <w:pStyle w:val="1127"/>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1127"/>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1127"/>
        <w:ind w:left="2832" w:hanging="1900"/>
        <w:jc w:val="left"/>
        <w:spacing w:line="360" w:lineRule="auto"/>
        <w:tabs>
          <w:tab w:val="left" w:pos="5609"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省厅金融证券大数据研判中心2026-2029年保安服务项目</w:t>
      </w:r>
      <w:r>
        <w:rPr>
          <w:rFonts w:hint="eastAsia" w:eastAsia="宋体"/>
          <w:bCs/>
          <w:color w:val="000000"/>
          <w:sz w:val="36"/>
          <w:szCs w:val="36"/>
          <w:highlight w:val="none"/>
          <w:lang w:eastAsia="zh-CN"/>
        </w:rPr>
      </w:r>
      <w:r/>
    </w:p>
    <w:p>
      <w:pPr>
        <w:pStyle w:val="1127"/>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JSZC-320400-SYZB-C2026-0054</w:t>
      </w:r>
      <w:r>
        <w:rPr>
          <w:rFonts w:hint="eastAsia" w:eastAsia="宋体"/>
          <w:bCs/>
          <w:color w:val="000000"/>
          <w:sz w:val="36"/>
          <w:szCs w:val="36"/>
          <w:highlight w:val="none"/>
          <w:lang w:eastAsia="zh-CN"/>
        </w:rPr>
      </w:r>
      <w:r/>
    </w:p>
    <w:p>
      <w:pPr>
        <w:pStyle w:val="1127"/>
        <w:ind w:left="2832" w:hanging="1900"/>
        <w:jc w:val="left"/>
        <w:spacing w:line="360" w:lineRule="auto"/>
        <w:tabs>
          <w:tab w:val="left" w:pos="3240" w:leader="none"/>
          <w:tab w:val="left" w:pos="3420" w:leader="none"/>
        </w:tabs>
        <w:rPr>
          <w:rFonts w:hint="eastAsia" w:eastAsia="宋体"/>
          <w:bCs/>
          <w:color w:val="000000"/>
          <w:sz w:val="36"/>
          <w:szCs w:val="36"/>
          <w:highlight w:val="none"/>
          <w:lang w:val="en-US" w:eastAsia="zh-CN"/>
        </w:rPr>
        <w:outlineLvl w:val="9"/>
      </w:pPr>
      <w:r>
        <w:rPr>
          <w:rFonts w:hint="eastAsia"/>
          <w:bCs/>
          <w:color w:val="000000"/>
          <w:sz w:val="36"/>
          <w:szCs w:val="36"/>
          <w:highlight w:val="none"/>
          <w:lang w:eastAsia="zh-CN"/>
        </w:rPr>
        <w:t xml:space="preserve">采 购 人</w:t>
      </w:r>
      <w:r>
        <w:rPr>
          <w:bCs/>
          <w:color w:val="000000"/>
          <w:sz w:val="36"/>
          <w:szCs w:val="36"/>
          <w:highlight w:val="none"/>
        </w:rPr>
        <w:t xml:space="preserve">：</w:t>
      </w:r>
      <w:r>
        <w:rPr>
          <w:rFonts w:hint="eastAsia"/>
          <w:bCs/>
          <w:color w:val="000000"/>
          <w:sz w:val="36"/>
          <w:szCs w:val="36"/>
          <w:highlight w:val="none"/>
          <w:lang w:val="en-US" w:eastAsia="zh-CN"/>
        </w:rPr>
        <w:t xml:space="preserve">常州市公安局</w:t>
      </w:r>
      <w:r>
        <w:rPr>
          <w:rFonts w:hint="eastAsia" w:eastAsia="宋体"/>
          <w:bCs/>
          <w:color w:val="000000"/>
          <w:sz w:val="36"/>
          <w:szCs w:val="36"/>
          <w:highlight w:val="none"/>
          <w:lang w:val="en-US" w:eastAsia="zh-CN"/>
        </w:rPr>
      </w:r>
      <w:r/>
    </w:p>
    <w:p>
      <w:pPr>
        <w:pStyle w:val="1127"/>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1127"/>
        <w:jc w:val="center"/>
        <w:spacing w:before="100" w:after="240" w:line="500" w:lineRule="exact"/>
        <w:rPr>
          <w:b/>
          <w:bCs/>
          <w:color w:val="000000"/>
          <w:sz w:val="44"/>
          <w:highlight w:val="none"/>
        </w:rPr>
        <w:outlineLvl w:val="9"/>
      </w:pPr>
      <w:r>
        <w:rPr>
          <w:b/>
          <w:bCs/>
          <w:color w:val="000000"/>
          <w:sz w:val="44"/>
          <w:highlight w:val="none"/>
        </w:rPr>
        <w:br w:type="page" w:clear="all"/>
      </w:r>
      <w:bookmarkStart w:id="0" w:name="_Toc104818924"/>
      <w:r>
        <w:rPr>
          <w:b/>
          <w:bCs/>
          <w:color w:val="000000"/>
          <w:sz w:val="44"/>
          <w:highlight w:val="none"/>
        </w:rPr>
      </w:r>
      <w:r/>
    </w:p>
    <w:p>
      <w:pPr>
        <w:pStyle w:val="1127"/>
        <w:jc w:val="center"/>
        <w:spacing w:before="100" w:after="240" w:line="500" w:lineRule="exact"/>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t xml:space="preserve">目      录</w:t>
      </w:r>
      <w:bookmarkEnd w:id="0"/>
      <w:r>
        <w:rPr>
          <w:rFonts w:hint="eastAsia" w:ascii="宋体" w:hAnsi="宋体" w:eastAsia="宋体" w:cs="宋体"/>
          <w:b/>
          <w:color w:val="000000"/>
          <w:sz w:val="44"/>
          <w:szCs w:val="44"/>
          <w:highlight w:val="none"/>
        </w:rPr>
      </w:r>
      <w:r/>
    </w:p>
    <w:p>
      <w:pPr>
        <w:pStyle w:val="1127"/>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1183"/>
        <w:keepLines w:val="0"/>
        <w:keepNext w:val="0"/>
        <w:pageBreakBefore w:val="0"/>
        <w:spacing w:line="360" w:lineRule="auto"/>
        <w:widowControl w:val="off"/>
        <w:tabs>
          <w:tab w:val="left" w:pos="1050" w:leader="none"/>
          <w:tab w:val="right" w:pos="8937" w:leader="dot"/>
        </w:tabs>
        <w:rPr>
          <w:rStyle w:val="1206"/>
          <w:rFonts w:hint="eastAsia" w:ascii="宋体" w:hAnsi="宋体" w:eastAsia="宋体" w:cs="宋体"/>
          <w:color w:val="000000"/>
          <w:sz w:val="32"/>
          <w:szCs w:val="32"/>
          <w:highlight w:val="none"/>
        </w:rPr>
        <w:outlineLvl w:val="9"/>
      </w:pP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TOC \o "1-1" \h \u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HYPERLINK \l _Toc8614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第一章   采购邀请</w:t>
      </w:r>
      <w:r>
        <w:rPr>
          <w:rStyle w:val="1206"/>
          <w:rFonts w:hint="eastAsia" w:ascii="宋体" w:hAnsi="宋体" w:eastAsia="宋体" w:cs="宋体"/>
          <w:color w:val="000000"/>
          <w:sz w:val="32"/>
          <w:szCs w:val="32"/>
          <w:highlight w:val="none"/>
        </w:rPr>
        <w:tab/>
      </w: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PAGEREF _Toc8614 \h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1</w:t>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r>
      <w:r/>
    </w:p>
    <w:p>
      <w:pPr>
        <w:pStyle w:val="1183"/>
        <w:keepLines w:val="0"/>
        <w:keepNext w:val="0"/>
        <w:pageBreakBefore w:val="0"/>
        <w:spacing w:line="360" w:lineRule="auto"/>
        <w:widowControl w:val="off"/>
        <w:tabs>
          <w:tab w:val="left" w:pos="1050" w:leader="none"/>
          <w:tab w:val="right" w:pos="8937" w:leader="dot"/>
        </w:tabs>
        <w:rPr>
          <w:rStyle w:val="1206"/>
          <w:rFonts w:hint="eastAsia" w:ascii="宋体" w:hAnsi="宋体" w:eastAsia="宋体" w:cs="宋体"/>
          <w:color w:val="000000"/>
          <w:sz w:val="32"/>
          <w:szCs w:val="32"/>
          <w:highlight w:val="none"/>
        </w:rPr>
        <w:outlineLvl w:val="9"/>
      </w:pP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HYPERLINK \l _Toc5724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第二章   供应商须知</w:t>
      </w:r>
      <w:r>
        <w:rPr>
          <w:rStyle w:val="1206"/>
          <w:rFonts w:hint="eastAsia" w:ascii="宋体" w:hAnsi="宋体" w:eastAsia="宋体" w:cs="宋体"/>
          <w:color w:val="000000"/>
          <w:sz w:val="32"/>
          <w:szCs w:val="32"/>
          <w:highlight w:val="none"/>
        </w:rPr>
        <w:tab/>
      </w: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PAGEREF _Toc5724 \h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5</w:t>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r>
      <w:r/>
    </w:p>
    <w:p>
      <w:pPr>
        <w:pStyle w:val="1183"/>
        <w:keepLines w:val="0"/>
        <w:keepNext w:val="0"/>
        <w:pageBreakBefore w:val="0"/>
        <w:spacing w:line="360" w:lineRule="auto"/>
        <w:widowControl w:val="off"/>
        <w:tabs>
          <w:tab w:val="left" w:pos="1050" w:leader="none"/>
          <w:tab w:val="right" w:pos="8937" w:leader="dot"/>
        </w:tabs>
        <w:rPr>
          <w:rStyle w:val="1206"/>
          <w:rFonts w:hint="eastAsia" w:ascii="宋体" w:hAnsi="宋体" w:eastAsia="宋体" w:cs="宋体"/>
          <w:color w:val="000000"/>
          <w:sz w:val="32"/>
          <w:szCs w:val="32"/>
          <w:highlight w:val="none"/>
        </w:rPr>
        <w:outlineLvl w:val="9"/>
      </w:pP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HYPERLINK \l _Toc2600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第三章   评审程序、评审方法和评审标准</w:t>
      </w:r>
      <w:r>
        <w:rPr>
          <w:rStyle w:val="1206"/>
          <w:rFonts w:hint="eastAsia" w:ascii="宋体" w:hAnsi="宋体" w:eastAsia="宋体" w:cs="宋体"/>
          <w:color w:val="000000"/>
          <w:sz w:val="32"/>
          <w:szCs w:val="32"/>
          <w:highlight w:val="none"/>
        </w:rPr>
        <w:tab/>
      </w: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PAGEREF _Toc2600 \h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21</w:t>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r>
      <w:r/>
    </w:p>
    <w:p>
      <w:pPr>
        <w:pStyle w:val="1183"/>
        <w:keepLines w:val="0"/>
        <w:keepNext w:val="0"/>
        <w:pageBreakBefore w:val="0"/>
        <w:spacing w:line="360" w:lineRule="auto"/>
        <w:widowControl w:val="off"/>
        <w:tabs>
          <w:tab w:val="left" w:pos="1050" w:leader="none"/>
          <w:tab w:val="right" w:pos="8937" w:leader="dot"/>
        </w:tabs>
        <w:rPr>
          <w:rStyle w:val="1206"/>
          <w:rFonts w:hint="eastAsia" w:ascii="宋体" w:hAnsi="宋体" w:eastAsia="宋体" w:cs="宋体"/>
          <w:color w:val="000000"/>
          <w:sz w:val="32"/>
          <w:szCs w:val="32"/>
          <w:highlight w:val="none"/>
        </w:rPr>
        <w:outlineLvl w:val="9"/>
      </w:pP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HYPERLINK \l _Toc8874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第四章   采购需求</w:t>
      </w:r>
      <w:r>
        <w:rPr>
          <w:rStyle w:val="1206"/>
          <w:rFonts w:hint="eastAsia" w:ascii="宋体" w:hAnsi="宋体" w:eastAsia="宋体" w:cs="宋体"/>
          <w:color w:val="000000"/>
          <w:sz w:val="32"/>
          <w:szCs w:val="32"/>
          <w:highlight w:val="none"/>
        </w:rPr>
        <w:tab/>
      </w: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PAGEREF _Toc8874 \h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32</w:t>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r>
      <w:r/>
    </w:p>
    <w:p>
      <w:pPr>
        <w:pStyle w:val="1183"/>
        <w:keepLines w:val="0"/>
        <w:keepNext w:val="0"/>
        <w:pageBreakBefore w:val="0"/>
        <w:spacing w:line="360" w:lineRule="auto"/>
        <w:widowControl w:val="off"/>
        <w:tabs>
          <w:tab w:val="left" w:pos="1050" w:leader="none"/>
          <w:tab w:val="right" w:pos="8937" w:leader="dot"/>
        </w:tabs>
        <w:rPr>
          <w:rStyle w:val="1206"/>
          <w:rFonts w:hint="eastAsia" w:ascii="宋体" w:hAnsi="宋体" w:eastAsia="宋体" w:cs="宋体"/>
          <w:color w:val="000000"/>
          <w:sz w:val="32"/>
          <w:szCs w:val="32"/>
          <w:highlight w:val="none"/>
        </w:rPr>
        <w:outlineLvl w:val="9"/>
      </w:pP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HYPERLINK \l _Toc104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第五章   合同草案条款</w:t>
      </w:r>
      <w:r>
        <w:rPr>
          <w:rStyle w:val="1206"/>
          <w:rFonts w:hint="eastAsia" w:ascii="宋体" w:hAnsi="宋体" w:eastAsia="宋体" w:cs="宋体"/>
          <w:color w:val="000000"/>
          <w:sz w:val="32"/>
          <w:szCs w:val="32"/>
          <w:highlight w:val="none"/>
        </w:rPr>
        <w:tab/>
      </w: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PAGEREF _Toc104 \h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36</w:t>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fldChar w:fldCharType="end"/>
      </w:r>
      <w:r>
        <w:rPr>
          <w:rStyle w:val="1206"/>
          <w:rFonts w:hint="eastAsia" w:ascii="宋体" w:hAnsi="宋体" w:eastAsia="宋体" w:cs="宋体"/>
          <w:color w:val="000000"/>
          <w:sz w:val="32"/>
          <w:szCs w:val="32"/>
          <w:highlight w:val="none"/>
        </w:rPr>
      </w:r>
      <w:r/>
    </w:p>
    <w:p>
      <w:pPr>
        <w:pStyle w:val="1183"/>
        <w:keepLines w:val="0"/>
        <w:keepNext w:val="0"/>
        <w:pageBreakBefore w:val="0"/>
        <w:spacing w:line="360" w:lineRule="auto"/>
        <w:widowControl w:val="off"/>
        <w:tabs>
          <w:tab w:val="left" w:pos="1050" w:leader="none"/>
          <w:tab w:val="right" w:pos="8937" w:leader="dot"/>
        </w:tabs>
        <w:rPr>
          <w:rStyle w:val="1206"/>
          <w:rFonts w:hint="eastAsia" w:eastAsia="宋体" w:cs="宋体"/>
          <w:color w:val="000000"/>
          <w:sz w:val="32"/>
          <w:szCs w:val="32"/>
          <w:highlight w:val="none"/>
          <w:lang w:val="en-US" w:eastAsia="zh-CN"/>
        </w:rPr>
        <w:outlineLvl w:val="9"/>
      </w:pPr>
      <w:r>
        <w:rPr>
          <w:rStyle w:val="1206"/>
          <w:rFonts w:hint="eastAsia" w:ascii="宋体" w:hAnsi="宋体" w:eastAsia="宋体" w:cs="宋体"/>
          <w:color w:val="000000"/>
          <w:sz w:val="32"/>
          <w:szCs w:val="32"/>
          <w:highlight w:val="none"/>
        </w:rPr>
        <w:fldChar w:fldCharType="begin"/>
      </w:r>
      <w:r>
        <w:rPr>
          <w:rStyle w:val="1206"/>
          <w:rFonts w:hint="eastAsia" w:ascii="宋体" w:hAnsi="宋体" w:eastAsia="宋体" w:cs="宋体"/>
          <w:color w:val="000000"/>
          <w:sz w:val="32"/>
          <w:szCs w:val="32"/>
          <w:highlight w:val="none"/>
        </w:rPr>
        <w:instrText xml:space="preserve"> HYPERLINK \l _Toc10386 </w:instrText>
      </w:r>
      <w:r>
        <w:rPr>
          <w:rStyle w:val="1206"/>
          <w:rFonts w:hint="eastAsia" w:ascii="宋体" w:hAnsi="宋体" w:eastAsia="宋体" w:cs="宋体"/>
          <w:color w:val="000000"/>
          <w:sz w:val="32"/>
          <w:szCs w:val="32"/>
          <w:highlight w:val="none"/>
        </w:rPr>
        <w:fldChar w:fldCharType="separate"/>
      </w:r>
      <w:r>
        <w:rPr>
          <w:rStyle w:val="1206"/>
          <w:rFonts w:hint="eastAsia" w:ascii="宋体" w:hAnsi="宋体" w:eastAsia="宋体" w:cs="宋体"/>
          <w:color w:val="000000"/>
          <w:sz w:val="32"/>
          <w:szCs w:val="32"/>
          <w:highlight w:val="none"/>
        </w:rPr>
        <w:t xml:space="preserve">第六章   响应文件格式</w:t>
      </w:r>
      <w:r>
        <w:rPr>
          <w:rStyle w:val="1206"/>
          <w:rFonts w:hint="eastAsia" w:ascii="宋体" w:hAnsi="宋体" w:eastAsia="宋体" w:cs="宋体"/>
          <w:color w:val="000000"/>
          <w:sz w:val="32"/>
          <w:szCs w:val="32"/>
          <w:highlight w:val="none"/>
        </w:rPr>
        <w:tab/>
      </w:r>
      <w:r>
        <w:rPr>
          <w:rStyle w:val="1206"/>
          <w:rFonts w:hint="eastAsia" w:eastAsia="宋体" w:cs="宋体"/>
          <w:color w:val="000000"/>
          <w:sz w:val="32"/>
          <w:szCs w:val="32"/>
          <w:highlight w:val="none"/>
          <w:lang w:val="en-US" w:eastAsia="zh-CN"/>
        </w:rPr>
        <w:t xml:space="preserve">4</w:t>
      </w:r>
      <w:r>
        <w:rPr>
          <w:rStyle w:val="1206"/>
          <w:rFonts w:hint="eastAsia" w:ascii="宋体" w:hAnsi="宋体" w:eastAsia="宋体" w:cs="宋体"/>
          <w:color w:val="000000"/>
          <w:sz w:val="32"/>
          <w:szCs w:val="32"/>
          <w:highlight w:val="none"/>
        </w:rPr>
        <w:fldChar w:fldCharType="end"/>
      </w:r>
      <w:r>
        <w:rPr>
          <w:rStyle w:val="1206"/>
          <w:rFonts w:hint="eastAsia" w:eastAsia="宋体" w:cs="宋体"/>
          <w:color w:val="000000"/>
          <w:sz w:val="32"/>
          <w:szCs w:val="32"/>
          <w:highlight w:val="none"/>
          <w:lang w:val="en-US" w:eastAsia="zh-CN"/>
        </w:rPr>
        <w:t xml:space="preserve">5</w:t>
      </w:r>
      <w:r>
        <w:rPr>
          <w:rStyle w:val="1206"/>
          <w:rFonts w:hint="eastAsia" w:eastAsia="宋体" w:cs="宋体"/>
          <w:color w:val="000000"/>
          <w:sz w:val="32"/>
          <w:szCs w:val="32"/>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w:r>
      <w:r/>
    </w:p>
    <w:p>
      <w:pPr>
        <w:pStyle w:val="1183"/>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Style w:val="1206"/>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r>
      <w:r/>
    </w:p>
    <w:p>
      <w:pPr>
        <w:pStyle w:val="1183"/>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Fonts w:hint="eastAsia" w:ascii="宋体" w:hAnsi="宋体" w:eastAsia="宋体" w:cs="宋体"/>
          <w:b w:val="0"/>
          <w:color w:val="000000"/>
          <w:sz w:val="32"/>
          <w:szCs w:val="32"/>
          <w:highlight w:val="none"/>
        </w:rPr>
      </w:r>
      <w:r/>
    </w:p>
    <w:p>
      <w:pPr>
        <w:pStyle w:val="1127"/>
        <w:jc w:val="left"/>
        <w:keepLines w:val="0"/>
        <w:keepNext w:val="0"/>
        <w:pageBreakBefore w:val="0"/>
        <w:spacing w:line="360" w:lineRule="auto"/>
        <w:widowControl w:val="off"/>
        <w:rPr>
          <w:rFonts w:hint="eastAsia" w:ascii="宋体" w:hAnsi="宋体" w:eastAsia="宋体"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b/>
          <w:color w:val="000000"/>
          <w:sz w:val="32"/>
          <w:szCs w:val="32"/>
          <w:highlight w:val="none"/>
        </w:rPr>
      </w:r>
      <w:r/>
    </w:p>
    <w:p>
      <w:pPr>
        <w:pStyle w:val="1127"/>
        <w:jc w:val="center"/>
        <w:spacing w:line="360" w:lineRule="auto"/>
        <w:rPr>
          <w:b/>
          <w:color w:val="000000"/>
          <w:sz w:val="36"/>
          <w:szCs w:val="36"/>
          <w:highlight w:val="none"/>
        </w:rPr>
        <w:outlineLvl w:val="0"/>
      </w:pPr>
      <w:r/>
      <w:bookmarkStart w:id="1" w:name="_Toc8614"/>
      <w:r/>
      <w:bookmarkStart w:id="2" w:name="_Toc104818925"/>
      <w:r>
        <w:rPr>
          <w:b/>
          <w:color w:val="000000"/>
          <w:sz w:val="36"/>
          <w:szCs w:val="36"/>
          <w:highlight w:val="none"/>
        </w:rPr>
        <w:t xml:space="preserve">第一章   采购邀请</w:t>
      </w:r>
      <w:bookmarkEnd w:id="1"/>
      <w:r/>
      <w:bookmarkEnd w:id="2"/>
      <w:r/>
      <w:bookmarkStart w:id="3" w:name="_Toc28359002"/>
      <w:r/>
      <w:bookmarkStart w:id="4" w:name="_Toc28359079"/>
      <w:r/>
      <w:bookmarkStart w:id="5" w:name="_Toc35393621"/>
      <w:r/>
      <w:bookmarkStart w:id="6" w:name="_Toc35393790"/>
      <w:r/>
      <w:bookmarkStart w:id="7" w:name="_Hlk24379207"/>
      <w:r>
        <w:rPr>
          <w:b/>
          <w:color w:val="000000"/>
          <w:sz w:val="36"/>
          <w:szCs w:val="36"/>
          <w:highlight w:val="none"/>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一、项目基本情况</w:t>
      </w:r>
      <w:bookmarkEnd w:id="3"/>
      <w:r/>
      <w:bookmarkEnd w:id="4"/>
      <w:r/>
      <w:bookmarkEnd w:id="5"/>
      <w:r/>
      <w:bookmarkEnd w:id="6"/>
      <w:r>
        <w:rPr>
          <w:rFonts w:hint="eastAsia" w:ascii="宋体" w:hAnsi="宋体" w:eastAsia="宋体" w:cs="Times New Roman"/>
          <w:b/>
          <w:bCs/>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JSZC-320400-SYZB-C2026-0054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省厅金融证券大数据研判中心2026-2029年保安服务项目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End w:id="7"/>
      <w:r>
        <w:rPr>
          <w:rFonts w:hint="eastAsia" w:ascii="宋体" w:hAnsi="宋体" w:eastAsia="宋体" w:cs="宋体"/>
          <w:color w:val="000000"/>
          <w:sz w:val="24"/>
          <w:szCs w:val="24"/>
          <w:highlight w:val="none"/>
        </w:rPr>
        <w:t xml:space="preserve">4.项目预算金额：</w:t>
      </w:r>
      <w:r>
        <w:rPr>
          <w:rFonts w:hint="eastAsia" w:ascii="宋体" w:hAnsi="宋体" w:cs="宋体"/>
          <w:color w:val="000000"/>
          <w:sz w:val="24"/>
          <w:highlight w:val="none"/>
          <w:u w:val="single"/>
          <w:lang w:val="en-US" w:eastAsia="zh-CN"/>
        </w:rPr>
        <w:t xml:space="preserve"> 135万元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年、项目最高限价：</w:t>
      </w:r>
      <w:r>
        <w:rPr>
          <w:rFonts w:hint="eastAsia" w:ascii="宋体" w:hAnsi="宋体" w:eastAsia="宋体" w:cs="宋体"/>
          <w:color w:val="000000"/>
          <w:sz w:val="24"/>
          <w:szCs w:val="24"/>
          <w:highlight w:val="none"/>
          <w:u w:val="single"/>
        </w:rPr>
        <w:t xml:space="preserve">45万元/年</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5.采购需求：</w:t>
      </w:r>
      <w:r>
        <w:rPr>
          <w:rFonts w:hint="eastAsia" w:ascii="宋体" w:hAnsi="宋体" w:eastAsia="宋体" w:cs="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7"/>
        <w:gridCol w:w="2070"/>
        <w:gridCol w:w="868"/>
        <w:gridCol w:w="4653"/>
      </w:tblGrid>
      <w:tr>
        <w:trPr>
          <w:trHeight w:val="575"/>
        </w:trPr>
        <w:tc>
          <w:tcPr>
            <w:tcW w:w="913" w:type="dxa"/>
            <w:vAlign w:val="center"/>
            <w:textDirection w:val="lrTb"/>
            <w:noWrap w:val="false"/>
          </w:tcPr>
          <w:p>
            <w:pPr>
              <w:pStyle w:val="1127"/>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114" w:type="dxa"/>
            <w:vAlign w:val="center"/>
            <w:textDirection w:val="lrTb"/>
            <w:noWrap w:val="false"/>
          </w:tcPr>
          <w:p>
            <w:pPr>
              <w:pStyle w:val="1127"/>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采购预算金额</w:t>
            </w:r>
            <w:r>
              <w:rPr>
                <w:rFonts w:hint="eastAsia" w:ascii="宋体" w:hAnsi="宋体" w:eastAsia="宋体" w:cs="宋体"/>
                <w:bCs/>
                <w:color w:val="000000"/>
                <w:sz w:val="24"/>
                <w:szCs w:val="24"/>
                <w:highlight w:val="none"/>
              </w:rPr>
            </w:r>
            <w:r/>
          </w:p>
          <w:p>
            <w:pPr>
              <w:pStyle w:val="1127"/>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467" w:type="dxa"/>
            <w:vAlign w:val="center"/>
            <w:textDirection w:val="lrTb"/>
            <w:noWrap w:val="false"/>
          </w:tcPr>
          <w:p>
            <w:pPr>
              <w:pStyle w:val="1127"/>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504" w:type="dxa"/>
            <w:vAlign w:val="center"/>
            <w:textDirection w:val="lrTb"/>
            <w:noWrap w:val="false"/>
          </w:tcPr>
          <w:p>
            <w:pPr>
              <w:pStyle w:val="1127"/>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简要技术需求或服务要求</w:t>
            </w:r>
            <w:r>
              <w:rPr>
                <w:rFonts w:hint="eastAsia" w:ascii="宋体" w:hAnsi="宋体" w:eastAsia="宋体" w:cs="宋体"/>
                <w:color w:val="000000"/>
                <w:sz w:val="24"/>
                <w:szCs w:val="24"/>
                <w:highlight w:val="none"/>
              </w:rPr>
            </w:r>
            <w:r/>
          </w:p>
        </w:tc>
      </w:tr>
      <w:tr>
        <w:trPr>
          <w:trHeight w:val="454"/>
        </w:trPr>
        <w:tc>
          <w:tcPr>
            <w:tcW w:w="913" w:type="dxa"/>
            <w:vAlign w:val="center"/>
            <w:textDirection w:val="lrTb"/>
            <w:noWrap w:val="false"/>
          </w:tcPr>
          <w:p>
            <w:pPr>
              <w:pStyle w:val="1127"/>
              <w:jc w:val="center"/>
              <w:keepLines w:val="0"/>
              <w:keepNext w:val="0"/>
              <w:pageBreakBefore w:val="0"/>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省厅金融证券大数据研判中心2026-2029年保安服务</w:t>
            </w:r>
            <w:r>
              <w:rPr>
                <w:rFonts w:hint="eastAsia" w:ascii="宋体" w:hAnsi="宋体" w:eastAsia="宋体" w:cs="宋体"/>
                <w:bCs/>
                <w:color w:val="000000"/>
                <w:sz w:val="24"/>
                <w:szCs w:val="24"/>
                <w:highlight w:val="none"/>
                <w:lang w:eastAsia="zh-CN"/>
              </w:rPr>
            </w:r>
            <w:r/>
          </w:p>
        </w:tc>
        <w:tc>
          <w:tcPr>
            <w:tcW w:w="1114" w:type="dxa"/>
            <w:vAlign w:val="center"/>
            <w:textDirection w:val="lrTb"/>
            <w:noWrap w:val="false"/>
          </w:tcPr>
          <w:p>
            <w:pPr>
              <w:pStyle w:val="1127"/>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cs="宋体"/>
                <w:color w:val="000000"/>
                <w:sz w:val="24"/>
                <w:highlight w:val="none"/>
                <w:u w:val="none"/>
                <w:lang w:val="en-US" w:eastAsia="zh-CN"/>
              </w:rPr>
              <w:t xml:space="preserve">135</w:t>
            </w:r>
            <w:r>
              <w:rPr>
                <w:rFonts w:ascii="宋体" w:hAnsi="宋体" w:eastAsia="宋体" w:cs="宋体"/>
                <w:bCs/>
                <w:color w:val="000000"/>
                <w:sz w:val="24"/>
                <w:szCs w:val="24"/>
                <w:highlight w:val="none"/>
                <w:lang w:val="en-US" w:eastAsia="zh-CN"/>
              </w:rPr>
            </w:r>
            <w:r/>
          </w:p>
        </w:tc>
        <w:tc>
          <w:tcPr>
            <w:tcW w:w="467" w:type="dxa"/>
            <w:vAlign w:val="center"/>
            <w:textDirection w:val="lrTb"/>
            <w:noWrap w:val="false"/>
          </w:tcPr>
          <w:p>
            <w:pPr>
              <w:pStyle w:val="1127"/>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2504" w:type="dxa"/>
            <w:vAlign w:val="center"/>
            <w:textDirection w:val="lrTb"/>
            <w:noWrap w:val="false"/>
          </w:tcPr>
          <w:p>
            <w:pPr>
              <w:pStyle w:val="1127"/>
              <w:jc w:val="both"/>
              <w:keepLines w:val="0"/>
              <w:keepNext w:val="0"/>
              <w:pageBreakBefore w:val="0"/>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本项目为省厅金融证券大数据研判中心2026-2029年保安服务项目，具体服务内容及相关要求详见本项目采购需求。</w:t>
            </w:r>
            <w:r>
              <w:rPr>
                <w:rFonts w:hint="eastAsia" w:ascii="宋体" w:hAnsi="宋体" w:eastAsia="宋体" w:cs="宋体"/>
                <w:color w:val="000000"/>
                <w:sz w:val="24"/>
                <w:szCs w:val="24"/>
                <w:highlight w:val="none"/>
                <w:lang w:eastAsia="zh-CN"/>
              </w:rPr>
            </w:r>
            <w:r/>
          </w:p>
        </w:tc>
      </w:tr>
    </w:tbl>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6.合同履行期</w:t>
      </w:r>
      <w:r>
        <w:rPr>
          <w:rFonts w:hint="eastAsia" w:ascii="宋体" w:hAnsi="宋体" w:eastAsia="宋体" w:cs="宋体"/>
          <w:color w:val="000000"/>
          <w:sz w:val="24"/>
          <w:szCs w:val="24"/>
          <w:highlight w:val="none"/>
          <w:u w:val="single"/>
        </w:rPr>
        <w:t xml:space="preserve">限：</w:t>
      </w:r>
      <w:r>
        <w:rPr>
          <w:rFonts w:hint="eastAsia" w:ascii="宋体" w:hAnsi="宋体" w:eastAsia="宋体" w:cs="宋体"/>
          <w:color w:val="000000"/>
          <w:sz w:val="24"/>
          <w:szCs w:val="24"/>
          <w:highlight w:val="none"/>
          <w:u w:val="single"/>
          <w:lang w:eastAsia="zh-CN"/>
        </w:rPr>
        <w:t xml:space="preserve">服务期三年，合同一年一签。在预算保障且年度考核合格前提下可续签；考核不合格（考核分数年平均低于80分）有权不予续签并重新采购。具体考核见考核细则。</w:t>
      </w:r>
      <w:r>
        <w:rPr>
          <w:rFonts w:hint="eastAsia" w:ascii="宋体" w:hAnsi="宋体" w:eastAsia="宋体" w:cs="宋体"/>
          <w:color w:val="000000"/>
          <w:sz w:val="24"/>
          <w:szCs w:val="24"/>
          <w:highlight w:val="none"/>
          <w:u w:val="single"/>
          <w:lang w:eastAsia="zh-CN"/>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8" w:name="_Toc28359003"/>
      <w:r/>
      <w:bookmarkStart w:id="9" w:name="_Toc28359080"/>
      <w:r/>
      <w:bookmarkStart w:id="10" w:name="_Toc35393791"/>
      <w:r/>
      <w:bookmarkStart w:id="11" w:name="_Toc35393622"/>
      <w:r>
        <w:rPr>
          <w:rFonts w:hint="eastAsia" w:ascii="宋体" w:hAnsi="宋体" w:eastAsia="宋体" w:cs="Times New Roman"/>
          <w:b/>
          <w:bCs/>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Times New Roman"/>
          <w:b/>
          <w:bCs/>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11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中小企业政策</w:t>
      </w:r>
      <w:r>
        <w:rPr>
          <w:rFonts w:ascii="宋体" w:hAnsi="宋体" w:cs="宋体"/>
          <w:color w:val="000000"/>
          <w:sz w:val="24"/>
          <w:highlight w:val="none"/>
        </w:rPr>
      </w:r>
      <w:r/>
    </w:p>
    <w:p>
      <w:pPr>
        <w:pStyle w:val="11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11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采购。即：提供的服务全部由符合政策要求的中小企业承接。</w:t>
      </w:r>
      <w:r>
        <w:rPr>
          <w:rFonts w:ascii="宋体" w:hAnsi="宋体" w:cs="宋体"/>
          <w:color w:val="000000"/>
          <w:sz w:val="24"/>
          <w:highlight w:val="none"/>
        </w:rPr>
      </w:r>
      <w:r/>
    </w:p>
    <w:p>
      <w:pPr>
        <w:pStyle w:val="11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□本项目预留部分采购项目预算专门面向中小企业采购。对于预留份额，服务由符合政策要求的中小企业承接。预留份额通过以下措施进行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27"/>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1127"/>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1127"/>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1127"/>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ascii="宋体" w:hAnsi="宋体" w:eastAsia="宋体" w:cs="宋体"/>
          <w:color w:val="000000"/>
          <w:sz w:val="24"/>
          <w:szCs w:val="24"/>
          <w:highlight w:val="none"/>
          <w:u w:val="single"/>
          <w:lang w:val="en-US"/>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lang w:val="en-US" w:eastAsia="zh-CN"/>
        </w:rPr>
        <w:t xml:space="preserve">供应商具有有效的公安部门审批颁发的有效的《保安服务许可证》</w:t>
      </w:r>
      <w:r>
        <w:rPr>
          <w:rFonts w:ascii="宋体" w:hAnsi="宋体" w:eastAsia="宋体" w:cs="宋体"/>
          <w:color w:val="000000"/>
          <w:sz w:val="24"/>
          <w:szCs w:val="24"/>
          <w:highlight w:val="none"/>
          <w:u w:val="single"/>
          <w:lang w:val="en-US"/>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End w:id="12"/>
      <w:r/>
      <w:bookmarkEnd w:id="13"/>
      <w:r/>
      <w:bookmarkStart w:id="14" w:name="_Toc35393792"/>
      <w:r/>
      <w:bookmarkStart w:id="15" w:name="_Toc35393623"/>
      <w:r>
        <w:rPr>
          <w:rFonts w:hint="eastAsia" w:ascii="宋体" w:hAnsi="宋体" w:eastAsia="宋体" w:cs="Times New Roman"/>
          <w:b/>
          <w:bCs/>
          <w:color w:val="000000"/>
          <w:sz w:val="24"/>
          <w:szCs w:val="24"/>
          <w:highlight w:val="none"/>
        </w:rPr>
        <w:t xml:space="preserve">三、获取采购文件</w:t>
      </w:r>
      <w:bookmarkEnd w:id="14"/>
      <w:r/>
      <w:bookmarkEnd w:id="15"/>
      <w:r>
        <w:rPr>
          <w:rFonts w:hint="eastAsia" w:ascii="宋体" w:hAnsi="宋体" w:eastAsia="宋体" w:cs="Times New Roman"/>
          <w:b/>
          <w:bCs/>
          <w:color w:val="000000"/>
          <w:sz w:val="24"/>
          <w:szCs w:val="24"/>
          <w:highlight w:val="none"/>
        </w:rPr>
      </w:r>
      <w:r/>
    </w:p>
    <w:p>
      <w:pPr>
        <w:pStyle w:val="1127"/>
        <w:ind w:firstLine="480"/>
        <w:spacing w:line="360" w:lineRule="auto"/>
        <w:rPr>
          <w:rFonts w:ascii="宋体" w:hAnsi="宋体" w:cs="宋体"/>
          <w:sz w:val="24"/>
          <w:lang w:bidi="ar"/>
        </w:rPr>
      </w:pPr>
      <w:r/>
      <w:bookmarkStart w:id="16" w:name="_Toc35393793"/>
      <w:r/>
      <w:bookmarkStart w:id="17" w:name="_Toc35393624"/>
      <w:r/>
      <w:bookmarkStart w:id="18" w:name="_Toc28359005"/>
      <w:r/>
      <w:bookmarkStart w:id="19" w:name="_Toc28359082"/>
      <w:r>
        <w:rPr>
          <w:rFonts w:hint="eastAsia" w:ascii="宋体" w:hAnsi="宋体" w:cs="宋体"/>
          <w:sz w:val="24"/>
          <w:lang w:bidi="ar"/>
        </w:rPr>
        <w:t xml:space="preserve">1.时间：</w:t>
      </w:r>
      <w:r>
        <w:rPr>
          <w:rFonts w:hint="eastAsia" w:ascii="宋体" w:hAnsi="宋体" w:cs="宋体"/>
          <w:sz w:val="24"/>
        </w:rPr>
        <w:t xml:space="preserve">自磋商文件公告发布之日起5个工作日</w:t>
      </w:r>
      <w:r>
        <w:rPr>
          <w:rFonts w:hint="eastAsia" w:ascii="宋体" w:hAnsi="宋体" w:cs="宋体"/>
          <w:sz w:val="24"/>
          <w:lang w:bidi="ar"/>
        </w:rPr>
        <w:t xml:space="preserve">。</w:t>
      </w:r>
      <w:r>
        <w:rPr>
          <w:rFonts w:ascii="宋体" w:hAnsi="宋体" w:cs="宋体"/>
          <w:sz w:val="24"/>
          <w:lang w:bidi="ar"/>
        </w:rPr>
      </w:r>
      <w:r/>
    </w:p>
    <w:p>
      <w:pPr>
        <w:pStyle w:val="1127"/>
        <w:ind w:firstLine="480"/>
        <w:spacing w:line="360" w:lineRule="auto"/>
        <w:rPr>
          <w:rFonts w:ascii="宋体" w:hAnsi="宋体" w:cs="宋体"/>
          <w:sz w:val="24"/>
          <w:lang w:bidi="ar"/>
        </w:rPr>
      </w:pPr>
      <w:r>
        <w:rPr>
          <w:rFonts w:hint="eastAsia" w:ascii="宋体" w:hAnsi="宋体" w:cs="宋体"/>
          <w:sz w:val="24"/>
          <w:lang w:bidi="ar"/>
        </w:rPr>
        <w:t xml:space="preserve">2.地点：</w:t>
      </w:r>
      <w:r>
        <w:rPr>
          <w:rFonts w:hint="eastAsia" w:ascii="宋体" w:hAnsi="宋体" w:cs="宋体"/>
          <w:sz w:val="24"/>
        </w:rPr>
        <w:t xml:space="preserve">“苏采云”政府采购一体化平台。</w:t>
      </w:r>
      <w:r>
        <w:rPr>
          <w:rFonts w:ascii="宋体" w:hAnsi="宋体" w:cs="宋体"/>
          <w:sz w:val="24"/>
          <w:lang w:bidi="ar"/>
        </w:rPr>
      </w:r>
      <w:r/>
    </w:p>
    <w:p>
      <w:pPr>
        <w:pStyle w:val="1127"/>
        <w:ind w:firstLine="480"/>
        <w:spacing w:line="360" w:lineRule="auto"/>
        <w:rPr>
          <w:rFonts w:ascii="宋体" w:hAnsi="宋体" w:cs="宋体"/>
          <w:sz w:val="24"/>
          <w:lang w:bidi="ar"/>
        </w:rPr>
      </w:pPr>
      <w:r>
        <w:rPr>
          <w:rFonts w:hint="eastAsia" w:ascii="宋体" w:hAnsi="宋体" w:cs="宋体"/>
          <w:sz w:val="24"/>
          <w:lang w:bidi="ar"/>
        </w:rPr>
        <w:t xml:space="preserve">3.方式：</w:t>
      </w:r>
      <w:r>
        <w:rPr>
          <w:rFonts w:hint="eastAsia" w:ascii="宋体" w:hAnsi="宋体" w:cs="宋体"/>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sz w:val="24"/>
          <w:lang w:bidi="ar"/>
        </w:rPr>
      </w:r>
      <w:r/>
    </w:p>
    <w:p>
      <w:pPr>
        <w:pStyle w:val="1127"/>
        <w:ind w:firstLine="480"/>
        <w:spacing w:line="360" w:lineRule="auto"/>
        <w:rPr>
          <w:rFonts w:ascii="宋体" w:hAnsi="宋体" w:cs="宋体"/>
          <w:sz w:val="24"/>
          <w:lang w:bidi="ar"/>
        </w:rPr>
      </w:pPr>
      <w:r>
        <w:rPr>
          <w:rFonts w:hint="eastAsia" w:ascii="宋体" w:hAnsi="宋体" w:cs="宋体"/>
          <w:sz w:val="24"/>
          <w:lang w:bidi="ar"/>
        </w:rPr>
        <w:t xml:space="preserve">4.售价：</w:t>
      </w:r>
      <w:r>
        <w:rPr>
          <w:rFonts w:hint="eastAsia" w:ascii="宋体" w:hAnsi="宋体" w:cs="宋体"/>
          <w:sz w:val="24"/>
          <w:u w:val="single"/>
          <w:lang w:bidi="ar"/>
        </w:rPr>
        <w:t xml:space="preserve"> 0 </w:t>
      </w:r>
      <w:r>
        <w:rPr>
          <w:rFonts w:hint="eastAsia" w:ascii="宋体" w:hAnsi="宋体" w:cs="宋体"/>
          <w:sz w:val="24"/>
          <w:lang w:bidi="ar"/>
        </w:rPr>
        <w:t xml:space="preserve">元。</w:t>
      </w:r>
      <w:r>
        <w:rPr>
          <w:rFonts w:ascii="宋体" w:hAnsi="宋体" w:cs="宋体"/>
          <w:sz w:val="24"/>
          <w:lang w:bidi="ar"/>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w:t>
      </w:r>
      <w:bookmarkEnd w:id="16"/>
      <w:r/>
      <w:bookmarkEnd w:id="17"/>
      <w:r/>
      <w:bookmarkEnd w:id="18"/>
      <w:r/>
      <w:bookmarkEnd w:id="19"/>
      <w:r>
        <w:rPr>
          <w:rFonts w:hint="eastAsia" w:ascii="宋体" w:hAnsi="宋体" w:eastAsia="宋体" w:cs="Times New Roman"/>
          <w:b/>
          <w:bCs/>
          <w:color w:val="000000"/>
          <w:sz w:val="24"/>
          <w:szCs w:val="24"/>
          <w:highlight w:val="none"/>
        </w:rPr>
        <w:t xml:space="preserve">响应文件提交</w:t>
      </w:r>
      <w:r>
        <w:rPr>
          <w:rFonts w:hint="eastAsia" w:ascii="宋体" w:hAnsi="宋体" w:eastAsia="宋体" w:cs="Times New Roman"/>
          <w:b/>
          <w:bCs/>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rPr>
          <w:rFonts w:hint="eastAsia" w:ascii="宋体" w:hAnsi="宋体" w:eastAsia="宋体" w:cs="宋体"/>
          <w:color w:val="000000"/>
          <w:sz w:val="24"/>
          <w:highlight w:val="none"/>
          <w:lang w:bidi="ar"/>
        </w:rPr>
        <w:t xml:space="preserve">截止时间：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8</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10</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09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30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1127"/>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地点：</w:t>
      </w:r>
      <w:r>
        <w:rPr>
          <w:rFonts w:hint="eastAsia" w:ascii="宋体" w:hAnsi="宋体"/>
          <w:color w:val="000000"/>
          <w:sz w:val="24"/>
          <w:highlight w:val="none"/>
          <w:u w:val="single"/>
          <w:lang w:eastAsia="zh-CN"/>
        </w:rPr>
        <w:t xml:space="preserve">本项目采用远程“不见面”交易方式，无需到现场提交，请供应商在</w:t>
      </w:r>
      <w:r>
        <w:rPr>
          <w:rFonts w:hint="eastAsia" w:ascii="宋体" w:hAnsi="宋体"/>
          <w:color w:val="000000"/>
          <w:sz w:val="24"/>
          <w:highlight w:val="none"/>
          <w:u w:val="single"/>
          <w:lang w:val="en-US" w:eastAsia="zh-CN"/>
        </w:rPr>
        <w:t xml:space="preserve">提交</w:t>
      </w:r>
      <w:r>
        <w:rPr>
          <w:rFonts w:hint="eastAsia" w:ascii="宋体" w:hAnsi="宋体"/>
          <w:color w:val="000000"/>
          <w:sz w:val="24"/>
          <w:highlight w:val="none"/>
          <w:u w:val="single"/>
          <w:lang w:eastAsia="zh-CN"/>
        </w:rPr>
        <w:t xml:space="preserve">时间截止前提前登入“苏采云”，通过系统在线提交电子磋商响应文件</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五、开启</w:t>
      </w:r>
      <w:r>
        <w:rPr>
          <w:rFonts w:hint="eastAsia" w:ascii="宋体" w:hAnsi="宋体" w:eastAsia="宋体" w:cs="Times New Roman"/>
          <w:b/>
          <w:bCs/>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bookmarkStart w:id="20" w:name="_Toc28359084"/>
      <w:r/>
      <w:bookmarkStart w:id="21" w:name="_Toc28359007"/>
      <w:r/>
      <w:bookmarkStart w:id="22" w:name="_Toc35393625"/>
      <w:r/>
      <w:bookmarkStart w:id="23" w:name="_Toc35393794"/>
      <w:r>
        <w:rPr>
          <w:rFonts w:hint="eastAsia" w:ascii="宋体" w:hAnsi="宋体" w:eastAsia="宋体" w:cs="宋体"/>
          <w:color w:val="000000"/>
          <w:sz w:val="24"/>
          <w:highlight w:val="none"/>
          <w:lang w:bidi="ar"/>
        </w:rPr>
        <w:t xml:space="preserve">时间：</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8</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10</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09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30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1127"/>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地点：</w:t>
      </w:r>
      <w:r>
        <w:rPr>
          <w:rFonts w:hint="eastAsia" w:ascii="宋体" w:hAnsi="宋体"/>
          <w:color w:val="000000"/>
          <w:sz w:val="24"/>
          <w:highlight w:val="none"/>
          <w:u w:val="single"/>
          <w:lang w:eastAsia="zh-CN"/>
        </w:rPr>
        <w:t xml:space="preserve">“苏采云”政府采购交易系统网上开标大厅</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六、公告期限</w:t>
      </w:r>
      <w:bookmarkEnd w:id="20"/>
      <w:r/>
      <w:bookmarkEnd w:id="21"/>
      <w:r/>
      <w:bookmarkEnd w:id="22"/>
      <w:r/>
      <w:bookmarkEnd w:id="23"/>
      <w:r>
        <w:rPr>
          <w:rFonts w:hint="eastAsia" w:ascii="宋体" w:hAnsi="宋体" w:eastAsia="宋体" w:cs="Times New Roman"/>
          <w:b/>
          <w:bCs/>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自本公告发布之日起3个工作日。</w:t>
      </w:r>
      <w:r>
        <w:rPr>
          <w:rFonts w:hint="eastAsia" w:ascii="宋体" w:hAnsi="宋体" w:eastAsia="宋体" w:cs="宋体"/>
          <w:color w:val="000000"/>
          <w:sz w:val="24"/>
          <w:highlight w:val="none"/>
          <w:lang w:bidi="ar"/>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4" w:name="_Toc35393626"/>
      <w:r/>
      <w:bookmarkStart w:id="25" w:name="_Toc35393795"/>
      <w:r>
        <w:rPr>
          <w:rFonts w:hint="eastAsia" w:ascii="宋体" w:hAnsi="宋体" w:eastAsia="宋体" w:cs="Times New Roman"/>
          <w:b/>
          <w:bCs/>
          <w:color w:val="000000"/>
          <w:sz w:val="24"/>
          <w:szCs w:val="24"/>
          <w:highlight w:val="none"/>
        </w:rPr>
        <w:t xml:space="preserve">七、其他补充事宜</w:t>
      </w:r>
      <w:bookmarkEnd w:id="24"/>
      <w:r/>
      <w:bookmarkEnd w:id="25"/>
      <w:r>
        <w:rPr>
          <w:rFonts w:hint="eastAsia" w:ascii="宋体" w:hAnsi="宋体" w:eastAsia="宋体" w:cs="Times New Roman"/>
          <w:b/>
          <w:bCs/>
          <w:color w:val="000000"/>
          <w:sz w:val="24"/>
          <w:szCs w:val="24"/>
          <w:highlight w:val="none"/>
        </w:rPr>
      </w:r>
      <w:r/>
    </w:p>
    <w:p>
      <w:pPr>
        <w:pStyle w:val="1127"/>
        <w:ind w:firstLine="480"/>
        <w:spacing w:line="360" w:lineRule="auto"/>
        <w:rPr>
          <w:rFonts w:ascii="宋体" w:hAnsi="宋体" w:cs="宋体"/>
          <w:color w:val="000000"/>
          <w:sz w:val="24"/>
          <w:highlight w:val="none"/>
        </w:rPr>
      </w:pPr>
      <w:r/>
      <w:bookmarkStart w:id="26" w:name="_Toc35393796"/>
      <w:r/>
      <w:bookmarkStart w:id="27" w:name="_Toc35393627"/>
      <w:r/>
      <w:bookmarkStart w:id="28" w:name="_Toc28359085"/>
      <w:r/>
      <w:bookmarkStart w:id="29" w:name="_Toc28359008"/>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27"/>
        <w:ind w:left="239" w:firstLine="24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2.本项目的采购年限为</w:t>
      </w:r>
      <w:r>
        <w:rPr>
          <w:rFonts w:hint="eastAsia" w:ascii="宋体" w:hAnsi="宋体" w:cs="宋体"/>
          <w:color w:val="000000"/>
          <w:sz w:val="24"/>
          <w:highlight w:val="none"/>
          <w:u w:val="single"/>
          <w:lang w:val="en-US" w:eastAsia="zh-CN"/>
        </w:rPr>
        <w:t xml:space="preserve"> 3 </w:t>
      </w:r>
      <w:r>
        <w:rPr>
          <w:rFonts w:hint="eastAsia" w:ascii="宋体" w:hAnsi="宋体" w:cs="宋体"/>
          <w:color w:val="000000"/>
          <w:sz w:val="24"/>
          <w:highlight w:val="none"/>
          <w:lang w:val="en-US" w:eastAsia="zh-CN"/>
        </w:rPr>
        <w:t xml:space="preserve">年、预算金额为</w:t>
      </w:r>
      <w:r>
        <w:rPr>
          <w:rFonts w:hint="eastAsia" w:ascii="宋体" w:hAnsi="宋体" w:cs="宋体"/>
          <w:color w:val="000000"/>
          <w:sz w:val="24"/>
          <w:highlight w:val="none"/>
          <w:u w:val="single"/>
          <w:lang w:val="en-US" w:eastAsia="zh-CN"/>
        </w:rPr>
        <w:t xml:space="preserve">135</w:t>
      </w:r>
      <w:r>
        <w:rPr>
          <w:rFonts w:hint="eastAsia" w:ascii="宋体" w:hAnsi="宋体" w:cs="宋体"/>
          <w:color w:val="000000"/>
          <w:sz w:val="24"/>
          <w:highlight w:val="none"/>
          <w:lang w:val="en-US" w:eastAsia="zh-CN"/>
        </w:rPr>
        <w:t xml:space="preserve">万元、当年安排数为</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45</w:t>
      </w:r>
      <w:r>
        <w:rPr>
          <w:rFonts w:hint="eastAsia" w:ascii="宋体" w:hAnsi="宋体" w:cs="宋体"/>
          <w:color w:val="000000"/>
          <w:sz w:val="24"/>
          <w:highlight w:val="none"/>
          <w:lang w:val="en-US" w:eastAsia="zh-CN"/>
        </w:rPr>
        <w:t xml:space="preserve">万元。</w:t>
      </w:r>
      <w:r>
        <w:rPr>
          <w:rFonts w:hint="eastAsia" w:ascii="宋体" w:hAnsi="宋体" w:eastAsia="宋体" w:cs="宋体"/>
          <w:color w:val="000000"/>
          <w:sz w:val="24"/>
          <w:highlight w:val="none"/>
          <w:lang w:val="en-US" w:eastAsia="zh-CN"/>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.有关本次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的事项若存在变动或修改，敬请及时关注“江苏政府采购网”、“常州市政府采购网”发布的更正公告。</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.注意事项</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127"/>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rPr>
          <w:rFonts w:hint="eastAsia" w:ascii="宋体" w:hAnsi="宋体" w:eastAsia="宋体" w:cs="宋体"/>
          <w:color w:val="000000"/>
          <w:sz w:val="24"/>
          <w:highlight w:val="none"/>
          <w:lang w:val="en-US" w:eastAsia="zh-CN"/>
        </w:rPr>
      </w:r>
      <w:r/>
    </w:p>
    <w:p>
      <w:pPr>
        <w:pStyle w:val="1127"/>
        <w:numPr>
          <w:ilvl w:val="0"/>
          <w:numId w:val="0"/>
        </w:numPr>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eastAsia="宋体" w:cs="宋体"/>
          <w:color w:val="000000"/>
          <w:sz w:val="24"/>
          <w:highlight w:val="none"/>
          <w:lang w:val="en-US" w:eastAsia="zh-CN"/>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10.如潜在供应商未按上述要求操作，将自行承担所产生的风险。</w:t>
      </w:r>
      <w:r>
        <w:rPr>
          <w:rFonts w:hint="eastAsia" w:ascii="宋体" w:hAnsi="宋体" w:eastAsia="宋体" w:cs="宋体"/>
          <w:color w:val="000000"/>
          <w:sz w:val="24"/>
          <w:highlight w:val="none"/>
          <w:lang w:val="en-US" w:eastAsia="zh-CN"/>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.关于常州市中小企业政府采购信用融资：</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12.关于深入开展常州市政府采购线上合同信用融资：</w:t>
      </w:r>
      <w:r>
        <w:rPr>
          <w:rFonts w:hint="eastAsia" w:ascii="宋体" w:hAnsi="宋体" w:eastAsia="宋体" w:cs="宋体"/>
          <w:color w:val="000000"/>
          <w:sz w:val="24"/>
          <w:highlight w:val="none"/>
          <w:lang w:val="en-US" w:eastAsia="zh-CN"/>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eastAsia="宋体" w:cs="宋体"/>
          <w:color w:val="000000"/>
          <w:sz w:val="24"/>
          <w:highlight w:val="none"/>
          <w:lang w:val="en-US" w:eastAsia="zh-CN"/>
        </w:rPr>
      </w:r>
      <w:r/>
    </w:p>
    <w:p>
      <w:pPr>
        <w:pStyle w:val="1127"/>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八、对本项目提出询问，请按以下方式联系。</w:t>
      </w:r>
      <w:bookmarkEnd w:id="26"/>
      <w:r/>
      <w:bookmarkEnd w:id="27"/>
      <w:r/>
      <w:bookmarkEnd w:id="28"/>
      <w:r/>
      <w:bookmarkEnd w:id="29"/>
      <w:r>
        <w:rPr>
          <w:rFonts w:hint="eastAsia" w:ascii="宋体" w:hAnsi="宋体" w:eastAsia="宋体" w:cs="Times New Roman"/>
          <w:b/>
          <w:bCs/>
          <w:color w:val="000000"/>
          <w:sz w:val="24"/>
          <w:szCs w:val="24"/>
          <w:highlight w:val="none"/>
        </w:rPr>
      </w:r>
      <w:r/>
    </w:p>
    <w:p>
      <w:pPr>
        <w:pStyle w:val="112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1.采购人信息</w:t>
      </w:r>
      <w:r>
        <w:rPr>
          <w:rFonts w:hint="eastAsia" w:ascii="宋体" w:hAnsi="宋体" w:eastAsia="宋体" w:cs="宋体"/>
          <w:b/>
          <w:bCs/>
          <w:color w:val="000000"/>
          <w:sz w:val="24"/>
          <w:highlight w:val="none"/>
          <w:lang w:val="zh-TW"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常州市公安局 </w:t>
      </w:r>
      <w:r>
        <w:rPr>
          <w:rFonts w:hint="eastAsia" w:ascii="宋体" w:hAnsi="宋体" w:eastAsia="宋体" w:cs="宋体"/>
          <w:color w:val="000000"/>
          <w:sz w:val="24"/>
          <w:highlight w:val="none"/>
          <w:lang w:val="zh-TW" w:bidi="ar"/>
        </w:rPr>
      </w:r>
      <w:r/>
    </w:p>
    <w:p>
      <w:pPr>
        <w:pStyle w:val="1127"/>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常州市新北区龙锦路1588号 </w:t>
      </w:r>
      <w:r>
        <w:rPr>
          <w:rFonts w:ascii="宋体" w:hAnsi="宋体" w:eastAsia="宋体" w:cs="宋体"/>
          <w:color w:val="000000"/>
          <w:sz w:val="24"/>
          <w:highlight w:val="none"/>
          <w:u w:val="single"/>
          <w:lang w:val="en-US" w:eastAsia="zh-CN"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邵先生、0519-81993183 </w:t>
      </w:r>
      <w:r>
        <w:rPr>
          <w:rFonts w:hint="eastAsia" w:ascii="宋体" w:hAnsi="宋体" w:eastAsia="宋体" w:cs="宋体"/>
          <w:color w:val="000000"/>
          <w:sz w:val="24"/>
          <w:highlight w:val="none"/>
          <w:lang w:val="zh-TW" w:bidi="ar"/>
        </w:rPr>
      </w:r>
      <w:r/>
    </w:p>
    <w:p>
      <w:pPr>
        <w:pStyle w:val="112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12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单馨莹 </w:t>
      </w:r>
      <w:r>
        <w:rPr>
          <w:rFonts w:hint="eastAsia" w:ascii="宋体" w:hAnsi="宋体" w:eastAsia="宋体" w:cs="宋体"/>
          <w:color w:val="000000"/>
          <w:sz w:val="24"/>
          <w:highlight w:val="none"/>
          <w:lang w:val="zh-TW" w:bidi="ar"/>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0519-88818295（800</w:t>
      </w:r>
      <w:r>
        <w:rPr>
          <w:rFonts w:hint="eastAsia" w:ascii="宋体" w:hAnsi="宋体" w:eastAsia="宋体" w:cs="宋体"/>
          <w:color w:val="000000"/>
          <w:sz w:val="24"/>
          <w:highlight w:val="none"/>
          <w:u w:val="single"/>
          <w:lang w:val="en-US" w:eastAsia="zh-CN" w:bidi="ar"/>
        </w:rPr>
        <w:t xml:space="preserve">1</w:t>
      </w:r>
      <w:r>
        <w:rPr>
          <w:rFonts w:hint="eastAsia" w:ascii="宋体" w:hAnsi="宋体" w:eastAsia="宋体" w:cs="宋体"/>
          <w:color w:val="000000"/>
          <w:sz w:val="24"/>
          <w:highlight w:val="none"/>
          <w:u w:val="single"/>
          <w:lang w:val="zh-TW" w:eastAsia="zh-CN" w:bidi="ar"/>
        </w:rPr>
        <w:t xml:space="preserve">）</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1157"/>
        <w:rPr>
          <w:rFonts w:hint="eastAsia"/>
          <w:color w:val="000000"/>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color w:val="000000"/>
          <w:highlight w:val="none"/>
        </w:rPr>
      </w:r>
      <w:r/>
    </w:p>
    <w:p>
      <w:pPr>
        <w:pStyle w:val="1127"/>
        <w:jc w:val="center"/>
        <w:keepLines w:val="0"/>
        <w:keepNext w:val="0"/>
        <w:pageBreakBefore w:val="0"/>
        <w:spacing w:line="360" w:lineRule="auto"/>
        <w:rPr>
          <w:b/>
          <w:color w:val="000000"/>
          <w:sz w:val="36"/>
          <w:szCs w:val="36"/>
          <w:highlight w:val="none"/>
        </w:rPr>
        <w:outlineLvl w:val="0"/>
      </w:pPr>
      <w:r/>
      <w:bookmarkStart w:id="30" w:name="_Toc353825548"/>
      <w:r/>
      <w:bookmarkStart w:id="31" w:name="_Toc5724"/>
      <w:r/>
      <w:bookmarkStart w:id="32" w:name="_Toc264969275"/>
      <w:r/>
      <w:bookmarkStart w:id="33" w:name="_Toc353873938"/>
      <w:r/>
      <w:bookmarkStart w:id="34" w:name="_Toc305158854"/>
      <w:r/>
      <w:bookmarkStart w:id="35" w:name="_Toc104818926"/>
      <w:r/>
      <w:bookmarkStart w:id="36" w:name="_Toc150774783"/>
      <w:r/>
      <w:bookmarkStart w:id="37" w:name="_Toc127151777"/>
      <w:r/>
      <w:bookmarkStart w:id="38" w:name="_Toc226965856"/>
      <w:r/>
      <w:bookmarkStart w:id="39" w:name="_Toc195842950"/>
      <w:r/>
      <w:bookmarkStart w:id="40" w:name="_Toc512937850"/>
      <w:r/>
      <w:bookmarkStart w:id="41" w:name="_Toc305158928"/>
      <w:r/>
      <w:bookmarkStart w:id="42" w:name="_Toc265228423"/>
      <w:r/>
      <w:bookmarkStart w:id="43" w:name="_Toc127161488"/>
      <w:r>
        <w:rPr>
          <w:b/>
          <w:color w:val="000000"/>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b/>
          <w:color w:val="000000"/>
          <w:sz w:val="36"/>
          <w:szCs w:val="36"/>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4" w:name="_Toc164229360"/>
      <w:r/>
      <w:bookmarkStart w:id="45" w:name="_Toc150509270"/>
      <w:r/>
      <w:bookmarkStart w:id="46" w:name="_Toc151193907"/>
      <w:r/>
      <w:bookmarkStart w:id="47" w:name="_Toc164229214"/>
      <w:r/>
      <w:bookmarkStart w:id="48" w:name="_Toc226309763"/>
      <w:r/>
      <w:bookmarkStart w:id="49" w:name="_Toc150480757"/>
      <w:r/>
      <w:bookmarkStart w:id="50" w:name="_Toc151193689"/>
      <w:r/>
      <w:bookmarkStart w:id="51" w:name="_Toc195842884"/>
      <w:r/>
      <w:bookmarkStart w:id="52" w:name="_Toc226965709"/>
      <w:r/>
      <w:bookmarkStart w:id="53" w:name="_Toc164351613"/>
      <w:r/>
      <w:bookmarkStart w:id="54" w:name="_Toc150774619"/>
      <w:r/>
      <w:bookmarkStart w:id="55" w:name="_Toc164608788"/>
      <w:r/>
      <w:bookmarkStart w:id="56" w:name="_Toc127151519"/>
      <w:r/>
      <w:bookmarkStart w:id="57" w:name="_Toc127161433"/>
      <w:r/>
      <w:bookmarkStart w:id="58" w:name="_Toc226337215"/>
      <w:r/>
      <w:bookmarkStart w:id="59" w:name="_Toc151193761"/>
      <w:r/>
      <w:bookmarkStart w:id="60" w:name="_Toc150774724"/>
      <w:r/>
      <w:bookmarkStart w:id="61" w:name="_Toc151193617"/>
      <w:r/>
      <w:bookmarkStart w:id="62" w:name="_Toc149720812"/>
      <w:r/>
      <w:bookmarkStart w:id="63" w:name="_Toc520356144"/>
      <w:r/>
      <w:bookmarkStart w:id="64" w:name="_Toc127151720"/>
      <w:r/>
      <w:bookmarkStart w:id="65" w:name="_Toc142311021"/>
      <w:r/>
      <w:bookmarkStart w:id="66" w:name="_Toc226965792"/>
      <w:r/>
      <w:bookmarkStart w:id="67" w:name="_Toc151190146"/>
      <w:r/>
      <w:bookmarkStart w:id="68" w:name="_Toc164608633"/>
      <w:r/>
      <w:bookmarkStart w:id="69" w:name="_Toc151193833"/>
      <w:r>
        <w:rPr>
          <w:rFonts w:hint="eastAsia" w:ascii="宋体" w:hAnsi="宋体" w:eastAsia="宋体" w:cs="Times New Roman"/>
          <w:b/>
          <w:bCs/>
          <w:color w:val="000000"/>
          <w:sz w:val="28"/>
          <w:szCs w:val="28"/>
          <w:highlight w:val="none"/>
          <w:lang w:val="en-US" w:eastAsia="zh-CN"/>
        </w:rPr>
        <w:t xml:space="preserve">供应商须知资料表</w:t>
      </w:r>
      <w:r>
        <w:rPr>
          <w:rFonts w:hint="eastAsia" w:ascii="宋体" w:hAnsi="宋体" w:eastAsia="宋体" w:cs="Times New Roman"/>
          <w:b/>
          <w:bCs/>
          <w:color w:val="000000"/>
          <w:sz w:val="28"/>
          <w:szCs w:val="28"/>
          <w:highlight w:val="none"/>
          <w:lang w:val="en-US" w:eastAsia="zh-CN"/>
        </w:rPr>
      </w:r>
      <w:r/>
    </w:p>
    <w:p>
      <w:pPr>
        <w:pStyle w:val="1127"/>
        <w:jc w:val="center"/>
        <w:rPr>
          <w:b/>
          <w:color w:val="000000"/>
          <w:sz w:val="28"/>
          <w:szCs w:val="28"/>
          <w:highlight w:val="none"/>
        </w:rPr>
        <w:outlineLvl w:val="9"/>
      </w:pPr>
      <w:r>
        <w:rPr>
          <w:b/>
          <w:color w:val="000000"/>
          <w:sz w:val="28"/>
          <w:szCs w:val="28"/>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本表是对供应商须知的具体补充和修改，如有矛盾，均以本资料表为准。标记“■”的选项意为适用于本项目，标记“□”的选项意为不适用于本项目。</w:t>
      </w:r>
      <w:r>
        <w:rPr>
          <w:rFonts w:hint="eastAsia" w:ascii="宋体" w:hAnsi="宋体" w:eastAsia="宋体" w:cs="宋体"/>
          <w:color w:val="000000"/>
          <w:sz w:val="24"/>
          <w:highlight w:val="none"/>
          <w:lang w:val="zh-TW" w:bidi="ar"/>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27"/>
              <w:jc w:val="center"/>
              <w:rPr>
                <w:rFonts w:hint="eastAsia" w:ascii="宋体" w:hAnsi="宋体" w:eastAsia="宋体" w:cs="宋体"/>
                <w:b/>
                <w:bCs/>
                <w:color w:val="000000"/>
                <w:sz w:val="24"/>
                <w:szCs w:val="24"/>
                <w:highlight w:val="none"/>
              </w:rPr>
              <w:outlineLvl w:val="9"/>
            </w:pPr>
            <w:r>
              <w:rPr>
                <w:rFonts w:hint="eastAsia" w:ascii="宋体" w:hAnsi="宋体" w:eastAsia="宋体" w:cs="宋体"/>
                <w:b/>
                <w:color w:val="000000"/>
                <w:sz w:val="24"/>
                <w:szCs w:val="24"/>
                <w:highlight w:val="none"/>
              </w:rPr>
              <w:t xml:space="preserve">条款号</w:t>
            </w:r>
            <w:r>
              <w:rPr>
                <w:rFonts w:hint="eastAsia" w:ascii="宋体" w:hAnsi="宋体" w:eastAsia="宋体" w:cs="宋体"/>
                <w:b/>
                <w:bCs/>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253" w:type="dxa"/>
            <w:vAlign w:val="center"/>
            <w:textDirection w:val="lrTb"/>
            <w:noWrap w:val="false"/>
          </w:tcPr>
          <w:p>
            <w:pPr>
              <w:pStyle w:val="1127"/>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□工程</w:t>
            </w:r>
            <w:r>
              <w:rPr>
                <w:rFonts w:hint="eastAsia" w:ascii="宋体" w:hAnsi="宋体" w:eastAsia="宋体" w:cs="宋体"/>
                <w:color w:val="000000"/>
                <w:sz w:val="24"/>
                <w:szCs w:val="24"/>
                <w:highlight w:val="none"/>
                <w:u w:val="single"/>
              </w:rPr>
            </w:r>
            <w:r/>
          </w:p>
        </w:tc>
      </w:tr>
      <w:tr>
        <w:trPr>
          <w:trHeight w:val="20"/>
        </w:trPr>
        <w:tc>
          <w:tcPr>
            <w:tcW w:w="988" w:type="dxa"/>
            <w:vAlign w:val="center"/>
            <w:vMerge w:val="restart"/>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1169"/>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1017"/>
        </w:trPr>
        <w:tc>
          <w:tcPr>
            <w:tcW w:w="988" w:type="dxa"/>
            <w:vAlign w:val="center"/>
            <w:vMerge w:val="continue"/>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55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b/>
                <w:bCs/>
                <w:color w:val="000000"/>
                <w:sz w:val="24"/>
                <w:szCs w:val="24"/>
                <w:highlight w:val="none"/>
                <w:lang w:val="en-US" w:eastAsia="zh-CN"/>
              </w:rPr>
              <w:t xml:space="preserve">租赁和商务服务业</w:t>
            </w:r>
            <w:r>
              <w:rPr>
                <w:rFonts w:hint="eastAsia" w:ascii="宋体" w:hAnsi="宋体" w:eastAsia="宋体" w:cs="宋体"/>
                <w:color w:val="000000"/>
                <w:sz w:val="24"/>
                <w:szCs w:val="24"/>
                <w:highlight w:val="none"/>
              </w:rPr>
            </w:r>
            <w:r/>
          </w:p>
        </w:tc>
      </w:tr>
      <w:tr>
        <w:trPr>
          <w:trHeight w:val="89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自提交响应文件的截止之日起算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color w:val="000000"/>
                <w:sz w:val="24"/>
                <w:szCs w:val="24"/>
                <w:highlight w:val="none"/>
                <w:u w:val="single"/>
                <w:lang w:val="en-US" w:eastAsia="zh-CN"/>
              </w:rPr>
              <w:t xml:space="preserve"> 于2026年8月6日11:00（北京时间）前以书面形式递交至江苏尚阳工程管理有限公司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单馨莹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0519-88818295（800</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w:t>
            </w:r>
            <w:r>
              <w:rPr>
                <w:rFonts w:hint="eastAsia" w:ascii="宋体" w:hAnsi="宋体" w:eastAsia="宋体" w:cs="宋体"/>
                <w:color w:val="000000"/>
                <w:sz w:val="24"/>
                <w:szCs w:val="24"/>
                <w:highlight w:val="none"/>
              </w:rPr>
            </w:r>
            <w:r/>
          </w:p>
          <w:p>
            <w:pPr>
              <w:pStyle w:val="1127"/>
              <w:jc w:val="left"/>
              <w:spacing w:line="3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成交金额在100万元（含）以下的为1.5%，100万元（不含）至500万元（含）的为0.8%，500万元（不含）至1000万元（含）的为0.45%，1000万元（不含）至5000万元（含）的为0.25%，按差额定率累进法计算。在基准收费标准的基础上，按科技类项目54折、非科技类项目8折向中标(成交)供应商收取代理费。按上述计算方式不足3000元的，按3000元收取。</w:t>
            </w:r>
            <w:r>
              <w:rPr>
                <w:rFonts w:hint="eastAsia" w:ascii="宋体" w:hAnsi="宋体" w:cs="宋体"/>
                <w:color w:val="000000"/>
                <w:sz w:val="24"/>
                <w:highlight w:val="none"/>
                <w:u w:val="single"/>
              </w:rPr>
            </w:r>
            <w:r/>
          </w:p>
          <w:p>
            <w:pPr>
              <w:pStyle w:val="1127"/>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成交供应商应在领取成交通知书时将成交服务费付至采购代理机构的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1127"/>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1127"/>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u w:val="single"/>
              </w:rPr>
            </w:r>
            <w:r/>
          </w:p>
          <w:p>
            <w:pPr>
              <w:pStyle w:val="1127"/>
              <w:jc w:val="left"/>
              <w:rPr>
                <w:rFonts w:ascii="宋体" w:hAnsi="宋体" w:cs="宋体"/>
                <w:b/>
                <w:bCs/>
                <w:sz w:val="24"/>
              </w:rPr>
            </w:pPr>
            <w:r>
              <w:rPr>
                <w:rFonts w:hint="eastAsia" w:ascii="宋体" w:hAnsi="宋体" w:cs="宋体"/>
                <w:b/>
                <w:bCs/>
                <w:sz w:val="24"/>
              </w:rPr>
              <w:t xml:space="preserve">代理服务费支付说明及原因： </w:t>
            </w:r>
            <w:r>
              <w:rPr>
                <w:rFonts w:ascii="宋体" w:hAnsi="宋体" w:cs="宋体"/>
                <w:b/>
                <w:bCs/>
                <w:sz w:val="24"/>
              </w:rPr>
            </w:r>
            <w:r/>
          </w:p>
          <w:p>
            <w:pPr>
              <w:pStyle w:val="1127"/>
              <w:jc w:val="left"/>
              <w:rPr>
                <w:rFonts w:ascii="宋体" w:hAnsi="宋体" w:cs="宋体"/>
                <w:b/>
                <w:bCs/>
                <w:sz w:val="24"/>
              </w:rPr>
            </w:pPr>
            <w:r>
              <w:rPr>
                <w:rFonts w:hint="eastAsia" w:ascii="宋体" w:hAnsi="宋体" w:cs="宋体"/>
                <w:b/>
                <w:bCs/>
                <w:sz w:val="24"/>
              </w:rPr>
              <w:t xml:space="preserve">1.支付依据：根据《政府采购代理机构管理暂行办法》第十五条规定，代理费用可以由中标、成交供应商支付。本项目经采购人与采购代理机构在《委托代理协议》中约定，代理服务费由中标/成交供应商支付。</w:t>
            </w:r>
            <w:r>
              <w:rPr>
                <w:rFonts w:ascii="宋体" w:hAnsi="宋体" w:cs="宋体"/>
                <w:b/>
                <w:bCs/>
                <w:sz w:val="24"/>
              </w:rPr>
            </w:r>
            <w:r/>
          </w:p>
          <w:p>
            <w:pPr>
              <w:pStyle w:val="1127"/>
              <w:jc w:val="left"/>
              <w:rPr>
                <w:rFonts w:ascii="宋体" w:hAnsi="宋体" w:cs="宋体"/>
                <w:b/>
                <w:bCs/>
                <w:sz w:val="24"/>
              </w:rPr>
            </w:pPr>
            <w:r>
              <w:rPr>
                <w:rFonts w:hint="eastAsia" w:ascii="宋体" w:hAnsi="宋体" w:cs="宋体"/>
                <w:b/>
                <w:bCs/>
                <w:sz w:val="24"/>
              </w:rPr>
              <w:t xml:space="preserve">2.定价原则：本项目代理服务费遵循市场调节原则，由采购人与代理机构根据项目特点、服务成本及市场行情协商确定收费标准。</w:t>
            </w:r>
            <w:r>
              <w:rPr>
                <w:rFonts w:ascii="宋体" w:hAnsi="宋体" w:cs="宋体"/>
                <w:b/>
                <w:bCs/>
                <w:sz w:val="24"/>
              </w:rPr>
            </w:r>
            <w:r/>
          </w:p>
          <w:p>
            <w:pPr>
              <w:pStyle w:val="1127"/>
              <w:jc w:val="left"/>
              <w:rPr>
                <w:rFonts w:hint="eastAsia" w:ascii="宋体" w:hAnsi="宋体" w:eastAsia="宋体" w:cs="宋体"/>
                <w:color w:val="000000"/>
                <w:sz w:val="24"/>
                <w:szCs w:val="24"/>
                <w:highlight w:val="none"/>
                <w:u w:val="single"/>
              </w:rPr>
              <w:outlineLvl w:val="9"/>
            </w:pPr>
            <w:r>
              <w:rPr>
                <w:rFonts w:hint="eastAsia" w:ascii="宋体" w:hAnsi="宋体" w:cs="宋体"/>
                <w:b/>
                <w:bCs/>
                <w:sz w:val="24"/>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rPr>
                <w:rFonts w:hint="eastAsia" w:ascii="宋体" w:hAnsi="宋体" w:eastAsia="宋体" w:cs="宋体"/>
                <w:color w:val="000000"/>
                <w:sz w:val="24"/>
                <w:szCs w:val="24"/>
                <w:highlight w:val="none"/>
                <w:u w:val="single"/>
              </w:rPr>
            </w:r>
            <w:r/>
          </w:p>
        </w:tc>
      </w:tr>
      <w:tr>
        <w:trPr>
          <w:trHeight w:val="20"/>
        </w:trPr>
        <w:tc>
          <w:tcPr>
            <w:tcW w:w="988" w:type="dxa"/>
            <w:vAlign w:val="center"/>
            <w:textDirection w:val="lrTb"/>
            <w:noWrap w:val="false"/>
          </w:tcPr>
          <w:p>
            <w:pPr>
              <w:pStyle w:val="1169"/>
              <w:jc w:val="center"/>
              <w:rPr>
                <w:rFonts w:hint="eastAsia" w:ascii="宋体" w:hAnsi="宋体" w:eastAsia="宋体" w:cs="宋体"/>
                <w:color w:val="000000"/>
                <w:sz w:val="24"/>
                <w:szCs w:val="24"/>
                <w:highlight w:val="none"/>
              </w:rPr>
            </w:pPr>
            <w:r>
              <w:rPr>
                <w:rFonts w:hAnsi="宋体" w:cs="宋体"/>
                <w:sz w:val="24"/>
                <w:szCs w:val="24"/>
              </w:rPr>
              <w:t xml:space="preserve">26</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cs="宋体"/>
                <w:sz w:val="24"/>
              </w:rPr>
              <w:t xml:space="preserve">电子系统意外情况处理条款</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127"/>
              <w:jc w:val="left"/>
              <w:rPr>
                <w:rFonts w:ascii="宋体" w:hAnsi="宋体" w:cs="宋体"/>
                <w:sz w:val="24"/>
              </w:rPr>
            </w:pPr>
            <w:r>
              <w:rPr>
                <w:rFonts w:hint="eastAsia" w:ascii="宋体" w:hAnsi="宋体" w:cs="宋体"/>
                <w:sz w:val="24"/>
              </w:rPr>
              <w:t xml:space="preserve">为确保本项目电子化采购活动顺利进行，防范化解采购风险，特制定相关情形处置举措。所有潜在供应商及参与各方均应知悉并遵守以下规定：</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2.开标前环节故障处置：在供应商报名、响应文件上传、响应文件解密及唱标环节等开标活动开始前的任何环节出现系统无法访问的情形，采购代理机构将按照以下原则处置：</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（一）若故障可在短时间内排除，采购代理机构将等待系统修复后，继续开展采购活动。</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（二）若故障无法在预定开标时间前排除，或故障情况严重影响公平竞争，采购代理机构将通过发布更正公告推迟开标。</w:t>
            </w:r>
            <w:r>
              <w:rPr>
                <w:rFonts w:ascii="宋体" w:hAnsi="宋体" w:cs="宋体"/>
                <w:sz w:val="24"/>
              </w:rPr>
            </w:r>
            <w:r/>
          </w:p>
          <w:p>
            <w:pPr>
              <w:pStyle w:val="1127"/>
              <w:jc w:val="left"/>
              <w:rPr>
                <w:rFonts w:ascii="宋体" w:hAnsi="宋体" w:cs="宋体"/>
                <w:color w:val="000000"/>
                <w:sz w:val="24"/>
              </w:rPr>
            </w:pPr>
            <w:r>
              <w:rPr>
                <w:rFonts w:hint="eastAsia" w:ascii="宋体" w:hAnsi="宋体" w:cs="宋体"/>
                <w:sz w:val="24"/>
              </w:rPr>
              <w:t xml:space="preserve">（三）若因故障导致有效供应</w:t>
            </w:r>
            <w:r>
              <w:rPr>
                <w:rFonts w:hint="eastAsia" w:ascii="宋体" w:hAnsi="宋体" w:cs="宋体"/>
                <w:color w:val="000000"/>
                <w:sz w:val="24"/>
              </w:rPr>
              <w:t xml:space="preserve">商不足法定家数或出现其他法定废标情形，采购代理机构将发布废标（终止）公告，重新开展采购活动。</w:t>
            </w:r>
            <w:r>
              <w:rPr>
                <w:rFonts w:ascii="宋体" w:hAnsi="宋体" w:cs="宋体"/>
                <w:color w:val="000000"/>
                <w:sz w:val="24"/>
              </w:rPr>
            </w:r>
            <w:r/>
          </w:p>
          <w:p>
            <w:pPr>
              <w:pStyle w:val="1127"/>
              <w:jc w:val="left"/>
              <w:rPr>
                <w:rFonts w:ascii="宋体" w:hAnsi="宋体" w:cs="宋体"/>
                <w:color w:val="000000"/>
                <w:sz w:val="24"/>
              </w:rPr>
            </w:pPr>
            <w:r>
              <w:rPr>
                <w:rFonts w:hint="eastAsia" w:ascii="宋体" w:hAnsi="宋体" w:cs="宋体"/>
                <w:color w:val="000000"/>
                <w:sz w:val="24"/>
              </w:rPr>
              <w:t xml:space="preserve">特别说明：本项目响应文件递交方式以</w:t>
            </w:r>
            <w:r>
              <w:rPr>
                <w:rFonts w:hint="eastAsia" w:ascii="宋体" w:hAnsi="宋体" w:cs="宋体"/>
                <w:color w:val="000000"/>
                <w:sz w:val="24"/>
                <w:lang w:eastAsia="zh-CN"/>
              </w:rPr>
              <w:t xml:space="preserve">竞争性磋商文件</w:t>
            </w:r>
            <w:r>
              <w:rPr>
                <w:rFonts w:hint="eastAsia" w:ascii="宋体" w:hAnsi="宋体" w:cs="宋体"/>
                <w:color w:val="000000"/>
                <w:sz w:val="24"/>
              </w:rPr>
              <w:t xml:space="preserve">载明为准。在电子系统发生故障时，采购代理机构仅依据上述程序处理，不接受任何现场提交的纸质、U盘等非</w:t>
            </w:r>
            <w:r>
              <w:rPr>
                <w:rFonts w:hint="eastAsia" w:ascii="宋体" w:hAnsi="宋体" w:cs="宋体"/>
                <w:color w:val="000000"/>
                <w:sz w:val="24"/>
                <w:lang w:eastAsia="zh-CN"/>
              </w:rPr>
              <w:t xml:space="preserve">竞争性磋商文件</w:t>
            </w:r>
            <w:r>
              <w:rPr>
                <w:rFonts w:hint="eastAsia" w:ascii="宋体" w:hAnsi="宋体" w:cs="宋体"/>
                <w:color w:val="000000"/>
                <w:sz w:val="24"/>
              </w:rPr>
              <w:t xml:space="preserve">规定的响应文件。</w:t>
            </w:r>
            <w:r>
              <w:rPr>
                <w:rFonts w:ascii="宋体" w:hAnsi="宋体" w:cs="宋体"/>
                <w:color w:val="000000"/>
                <w:sz w:val="24"/>
              </w:rPr>
            </w:r>
            <w:r/>
          </w:p>
          <w:p>
            <w:pPr>
              <w:pStyle w:val="1127"/>
              <w:jc w:val="left"/>
              <w:rPr>
                <w:rFonts w:ascii="宋体" w:hAnsi="宋体" w:cs="宋体"/>
                <w:sz w:val="24"/>
              </w:rPr>
            </w:pPr>
            <w:r>
              <w:rPr>
                <w:rFonts w:hint="eastAsia" w:ascii="宋体" w:hAnsi="宋体" w:cs="宋体"/>
                <w:color w:val="000000"/>
                <w:sz w:val="24"/>
              </w:rPr>
              <w:t xml:space="preserve">3.评审过程中故障处置：在评审委员会组建后至评审报告出</w:t>
            </w:r>
            <w:r>
              <w:rPr>
                <w:rFonts w:hint="eastAsia" w:ascii="宋体" w:hAnsi="宋体" w:cs="宋体"/>
                <w:sz w:val="24"/>
              </w:rPr>
              <w:t xml:space="preserve">具前的评审过程中出现系统无法访问的情形，采购代理机构将按照以下原则处置：</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（一）立即暂停评审：采购代理机构将立即宣布暂停评审活动，并采取必要措施封存所有响应文件及评审记录。</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（二）处置方案：视故障排除情况，采购代理机构将选择：</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1.若故障可在短时间内排除，采购代理机构将等待系统修复后，由原评审委员会继续完成评审；</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2. 若故障无法在当日排除，或故障导致评审无法公正进行，将发布废标（终止）公告，重新开展采购活动；</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3.若需在第二日继续评审，采购代理机构将重新从政府采购评审专家库中抽取专家，组建新的评审委员会，在系统修复后继续评审活动。</w:t>
            </w:r>
            <w:r>
              <w:rPr>
                <w:rFonts w:ascii="宋体" w:hAnsi="宋体" w:cs="宋体"/>
                <w:sz w:val="24"/>
              </w:rPr>
            </w:r>
            <w:r/>
          </w:p>
          <w:p>
            <w:pPr>
              <w:pStyle w:val="1127"/>
              <w:jc w:val="left"/>
              <w:rPr>
                <w:rFonts w:ascii="宋体" w:hAnsi="宋体" w:cs="宋体"/>
                <w:sz w:val="24"/>
              </w:rPr>
            </w:pPr>
            <w:r>
              <w:rPr>
                <w:rFonts w:hint="eastAsia" w:ascii="宋体" w:hAnsi="宋体" w:cs="宋体"/>
                <w:sz w:val="24"/>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ascii="宋体" w:hAnsi="宋体" w:cs="宋体"/>
                <w:sz w:val="24"/>
              </w:rPr>
            </w:r>
            <w:r/>
          </w:p>
          <w:p>
            <w:pPr>
              <w:pStyle w:val="1127"/>
              <w:jc w:val="left"/>
              <w:rPr>
                <w:rFonts w:hint="eastAsia" w:ascii="宋体" w:hAnsi="宋体" w:cs="宋体"/>
                <w:b/>
                <w:bCs/>
                <w:sz w:val="24"/>
              </w:rPr>
            </w:pPr>
            <w:r>
              <w:rPr>
                <w:rFonts w:hint="eastAsia" w:ascii="宋体" w:hAnsi="宋体" w:cs="宋体"/>
                <w:sz w:val="24"/>
              </w:rPr>
              <w:t xml:space="preserve">（四）供应商责任：供应</w:t>
            </w:r>
            <w:r>
              <w:rPr>
                <w:rFonts w:hint="eastAsia" w:ascii="宋体" w:hAnsi="宋体" w:cs="宋体"/>
                <w:color w:val="000000"/>
                <w:sz w:val="24"/>
              </w:rPr>
              <w:t xml:space="preserve">商有责任确保自身网络环境、设备及数字证书（CA）的正常，并在</w:t>
            </w:r>
            <w:r>
              <w:rPr>
                <w:rFonts w:hint="eastAsia" w:ascii="宋体" w:hAnsi="宋体" w:cs="宋体"/>
                <w:color w:val="000000"/>
                <w:sz w:val="24"/>
                <w:lang w:eastAsia="zh-CN"/>
              </w:rPr>
              <w:t xml:space="preserve">竞争性磋商文件</w:t>
            </w:r>
            <w:r>
              <w:rPr>
                <w:rFonts w:hint="eastAsia" w:ascii="宋体" w:hAnsi="宋体" w:cs="宋体"/>
                <w:color w:val="000000"/>
                <w:sz w:val="24"/>
              </w:rPr>
              <w:t xml:space="preserve">规定的期限内完成文件上传、解密等操作。因供应商自身原因导致的操作</w:t>
            </w:r>
            <w:r>
              <w:rPr>
                <w:rFonts w:hint="eastAsia" w:ascii="宋体" w:hAnsi="宋体" w:cs="宋体"/>
                <w:sz w:val="24"/>
              </w:rPr>
              <w:t xml:space="preserve">失败，不适用本意外情况处理条款。</w:t>
            </w:r>
            <w:r>
              <w:rPr>
                <w:rFonts w:hint="eastAsia" w:ascii="宋体" w:hAnsi="宋体" w:cs="宋体"/>
                <w:b/>
                <w:bCs/>
                <w:sz w:val="24"/>
              </w:rPr>
            </w:r>
            <w:r/>
          </w:p>
        </w:tc>
      </w:tr>
    </w:tbl>
    <w:p>
      <w:pPr>
        <w:pStyle w:val="1127"/>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供应商须知</w:t>
      </w:r>
      <w:r>
        <w:rPr>
          <w:rFonts w:hint="eastAsia" w:ascii="宋体" w:hAnsi="宋体" w:eastAsia="宋体" w:cs="Times New Roman"/>
          <w:b/>
          <w:bCs/>
          <w:color w:val="000000"/>
          <w:sz w:val="28"/>
          <w:szCs w:val="28"/>
          <w:highlight w:val="none"/>
          <w:lang w:val="en-US" w:eastAsia="zh-CN"/>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70" w:name="_Toc265228356"/>
      <w:r/>
      <w:bookmarkStart w:id="71" w:name="_Toc150774618"/>
      <w:r/>
      <w:bookmarkStart w:id="72" w:name="_Toc226965791"/>
      <w:r/>
      <w:bookmarkStart w:id="73" w:name="_Toc151193832"/>
      <w:r/>
      <w:bookmarkStart w:id="74" w:name="_Toc226965708"/>
      <w:r/>
      <w:bookmarkStart w:id="75" w:name="_Toc151193760"/>
      <w:r/>
      <w:bookmarkStart w:id="76" w:name="_Toc195842883"/>
      <w:r/>
      <w:bookmarkStart w:id="77" w:name="_Toc150509269"/>
      <w:r/>
      <w:bookmarkStart w:id="78" w:name="_Toc142311020"/>
      <w:r/>
      <w:bookmarkStart w:id="79" w:name="_Toc305158786"/>
      <w:r/>
      <w:bookmarkStart w:id="80" w:name="_Toc226309762"/>
      <w:r/>
      <w:bookmarkStart w:id="81" w:name="_Toc520356143"/>
      <w:r/>
      <w:bookmarkStart w:id="82" w:name="_Toc151193906"/>
      <w:r/>
      <w:bookmarkStart w:id="83" w:name="_Toc150480756"/>
      <w:r/>
      <w:bookmarkStart w:id="84" w:name="_Toc151190145"/>
      <w:r/>
      <w:bookmarkStart w:id="85" w:name="_Toc150774723"/>
      <w:r/>
      <w:bookmarkStart w:id="86" w:name="_Toc305158860"/>
      <w:r/>
      <w:bookmarkStart w:id="87" w:name="_Toc226337214"/>
      <w:r/>
      <w:bookmarkStart w:id="88" w:name="_Toc151193688"/>
      <w:r/>
      <w:bookmarkStart w:id="89" w:name="_Toc151193616"/>
      <w:r/>
      <w:bookmarkStart w:id="90" w:name="_Toc264969208"/>
      <w:r/>
      <w:bookmarkStart w:id="91" w:name="_Toc127151518"/>
      <w:r>
        <w:rPr>
          <w:rFonts w:hint="eastAsia" w:ascii="宋体" w:hAnsi="宋体" w:eastAsia="宋体" w:cs="Times New Roman"/>
          <w:b/>
          <w:bCs/>
          <w:color w:val="000000"/>
          <w:sz w:val="28"/>
          <w:szCs w:val="28"/>
          <w:highlight w:val="none"/>
          <w:lang w:val="en-US" w:eastAsia="zh-CN"/>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Times New Roman"/>
          <w:b/>
          <w:bCs/>
          <w:color w:val="000000"/>
          <w:sz w:val="28"/>
          <w:szCs w:val="28"/>
          <w:highlight w:val="none"/>
          <w:lang w:val="en-US" w:eastAsia="zh-CN"/>
        </w:rPr>
      </w:r>
      <w:r/>
    </w:p>
    <w:p>
      <w:pPr>
        <w:pStyle w:val="1127"/>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2" w:name="_Toc265228357"/>
      <w:r/>
      <w:bookmarkStart w:id="93" w:name="_Toc264969209"/>
      <w:r/>
      <w:bookmarkStart w:id="94" w:name="_Toc305158861"/>
      <w:r/>
      <w:bookmarkStart w:id="95" w:name="_Toc305158787"/>
      <w:r>
        <w:rPr>
          <w:rFonts w:hint="eastAsia" w:ascii="宋体" w:hAnsi="宋体" w:eastAsia="宋体" w:cs="宋体"/>
          <w:color w:val="000000"/>
          <w:sz w:val="24"/>
          <w:szCs w:val="24"/>
          <w:highlight w:val="none"/>
        </w:rPr>
        <w:t xml:space="preserve">采购人、采购代理机构、供应商</w:t>
      </w:r>
      <w:bookmarkEnd w:id="92"/>
      <w:r/>
      <w:bookmarkEnd w:id="93"/>
      <w:r/>
      <w:bookmarkEnd w:id="94"/>
      <w:r/>
      <w:bookmarkEnd w:id="95"/>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供应商（也称“申请人”）：指向采购人提供货物、工程或者服务的法人、其他组织或者自然人。</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6" w:name="_Toc151193618"/>
      <w:r/>
      <w:bookmarkStart w:id="97" w:name="_Toc151193834"/>
      <w:r/>
      <w:bookmarkStart w:id="98" w:name="_Toc164608789"/>
      <w:r/>
      <w:bookmarkStart w:id="99" w:name="_Toc305158862"/>
      <w:r/>
      <w:bookmarkStart w:id="100" w:name="_Toc151193690"/>
      <w:r/>
      <w:bookmarkStart w:id="101" w:name="_Toc150774620"/>
      <w:r/>
      <w:bookmarkStart w:id="102" w:name="_Toc164229215"/>
      <w:r/>
      <w:bookmarkStart w:id="103" w:name="_Toc164351614"/>
      <w:r/>
      <w:bookmarkStart w:id="104" w:name="_Toc150774725"/>
      <w:r/>
      <w:bookmarkStart w:id="105" w:name="_Toc150509271"/>
      <w:r/>
      <w:bookmarkStart w:id="106" w:name="_Toc164608634"/>
      <w:r/>
      <w:bookmarkStart w:id="107" w:name="_Toc151193762"/>
      <w:r/>
      <w:bookmarkStart w:id="108" w:name="_Toc226309764"/>
      <w:r/>
      <w:bookmarkStart w:id="109" w:name="_Toc127151721"/>
      <w:r/>
      <w:bookmarkStart w:id="110" w:name="_Toc127151520"/>
      <w:r/>
      <w:bookmarkStart w:id="111" w:name="_Toc151190147"/>
      <w:r/>
      <w:bookmarkStart w:id="112" w:name="_Toc264969210"/>
      <w:r/>
      <w:bookmarkStart w:id="113" w:name="_Toc226337216"/>
      <w:r/>
      <w:bookmarkStart w:id="114" w:name="_Toc226965793"/>
      <w:r/>
      <w:bookmarkStart w:id="115" w:name="_Toc151193908"/>
      <w:r/>
      <w:bookmarkStart w:id="116" w:name="_Toc127161434"/>
      <w:r/>
      <w:bookmarkStart w:id="117" w:name="_Toc142311022"/>
      <w:r/>
      <w:bookmarkStart w:id="118" w:name="_Toc164229361"/>
      <w:r/>
      <w:bookmarkStart w:id="119" w:name="_Toc226965710"/>
      <w:r/>
      <w:bookmarkStart w:id="120" w:name="_Toc149720813"/>
      <w:r/>
      <w:bookmarkStart w:id="121" w:name="_Toc265228358"/>
      <w:r/>
      <w:bookmarkStart w:id="122" w:name="_Toc150480758"/>
      <w:r/>
      <w:bookmarkStart w:id="123" w:name="_Toc195842885"/>
      <w:r/>
      <w:bookmarkStart w:id="124" w:name="_Toc305158788"/>
      <w:r>
        <w:rPr>
          <w:rFonts w:hint="eastAsia" w:ascii="宋体" w:hAnsi="宋体" w:eastAsia="宋体" w:cs="宋体"/>
          <w:color w:val="000000"/>
          <w:sz w:val="24"/>
          <w:szCs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4"/>
          <w:szCs w:val="24"/>
          <w:highlight w:val="none"/>
        </w:rPr>
        <w:t xml:space="preserve">、项目属性、科研仪器设备采购</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项目属性见《供应商须知资料表》。</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是否属于科研仪器设备采购见《供应商须知资料表》。</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现场考察、磋商前答疑会</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若《供应商须知资料表》中规定了组织现场考察、召开磋商前答疑会，则供应商应按要求在规定的时间和地点参加。</w:t>
      </w:r>
      <w:bookmarkStart w:id="125" w:name="_Toc151193910"/>
      <w:r/>
      <w:bookmarkStart w:id="126" w:name="_Toc520356146"/>
      <w:r/>
      <w:bookmarkStart w:id="127" w:name="_Toc151190149"/>
      <w:r/>
      <w:bookmarkStart w:id="128" w:name="_Toc305158864"/>
      <w:r/>
      <w:bookmarkStart w:id="129" w:name="_Toc150774622"/>
      <w:r/>
      <w:bookmarkStart w:id="130" w:name="_Toc127151522"/>
      <w:r/>
      <w:bookmarkStart w:id="131" w:name="_Toc142311024"/>
      <w:r/>
      <w:bookmarkStart w:id="132" w:name="_Toc264969212"/>
      <w:r/>
      <w:bookmarkStart w:id="133" w:name="_Toc151193836"/>
      <w:r/>
      <w:bookmarkStart w:id="134" w:name="_Toc151193620"/>
      <w:r/>
      <w:bookmarkStart w:id="135" w:name="_Toc226965712"/>
      <w:r/>
      <w:bookmarkStart w:id="136" w:name="_Toc226309766"/>
      <w:r/>
      <w:bookmarkStart w:id="137" w:name="_Toc151193764"/>
      <w:r/>
      <w:bookmarkStart w:id="138" w:name="_Toc226965795"/>
      <w:r/>
      <w:bookmarkStart w:id="139" w:name="_Toc226337218"/>
      <w:r/>
      <w:bookmarkStart w:id="140" w:name="_Toc305158790"/>
      <w:r/>
      <w:bookmarkStart w:id="141" w:name="_Toc151193692"/>
      <w:r/>
      <w:bookmarkStart w:id="142" w:name="_Toc150774727"/>
      <w:r/>
      <w:bookmarkStart w:id="143" w:name="_Toc265228360"/>
      <w:r/>
      <w:bookmarkStart w:id="144" w:name="_Toc150509273"/>
      <w:r/>
      <w:bookmarkStart w:id="145" w:name="_Toc195842887"/>
      <w:r/>
      <w:bookmarkStart w:id="146" w:name="_Toc150480760"/>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24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4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4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49"/>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49"/>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49"/>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49"/>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127"/>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127"/>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127"/>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249"/>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49"/>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127"/>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本项目是否专门面向中小企业预留采购份额见第一章《采购邀请》。</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采购标的对应的中小企业划分标准所属行业见《供应商须知资料表》。</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小微企业价格评审优惠的政策调整：见第三章《评审方法和评审标准》。</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非政府强制采购的节能产品或环境标志产品，依据品目清单和认证证书实施政府优先采购。优先采购的具体规定见第三章《评审方法和评审标准》。</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、财政部 生态环境部 工业和信息化部关于印发《绿色数据中心政府采购需求标准(试行)的通知(财库{2023}7号)</w:t>
      </w:r>
      <w:r>
        <w:rPr>
          <w:rFonts w:hint="eastAsia" w:ascii="宋体" w:hAnsi="宋体" w:eastAsia="宋体" w:cs="宋体"/>
          <w:color w:val="000000"/>
          <w:sz w:val="24"/>
          <w:szCs w:val="24"/>
          <w:highlight w:val="none"/>
        </w:rPr>
        <w:t xml:space="preserve">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1127"/>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112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1127"/>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1127"/>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1127"/>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响应费用</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47" w:name="_1.8_计量单位"/>
      <w:r/>
      <w:bookmarkEnd w:id="147"/>
      <w:r>
        <w:rPr>
          <w:rFonts w:hint="eastAsia" w:ascii="宋体" w:hAnsi="宋体" w:eastAsia="宋体" w:cs="Times New Roman"/>
          <w:b/>
          <w:bCs/>
          <w:color w:val="000000"/>
          <w:sz w:val="28"/>
          <w:szCs w:val="28"/>
          <w:highlight w:val="none"/>
          <w:lang w:val="en-US" w:eastAsia="zh-CN"/>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eastAsia="宋体" w:cs="Times New Roman"/>
          <w:b/>
          <w:bCs/>
          <w:color w:val="000000"/>
          <w:sz w:val="28"/>
          <w:szCs w:val="28"/>
          <w:highlight w:val="none"/>
          <w:lang w:val="en-US" w:eastAsia="zh-CN"/>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148" w:name="_Toc264969213"/>
      <w:r/>
      <w:bookmarkStart w:id="149" w:name="_Toc149720816"/>
      <w:r/>
      <w:bookmarkStart w:id="150" w:name="_Toc151193621"/>
      <w:r/>
      <w:bookmarkStart w:id="151" w:name="_Toc226965713"/>
      <w:r/>
      <w:bookmarkStart w:id="152" w:name="_Toc151193765"/>
      <w:r/>
      <w:bookmarkStart w:id="153" w:name="_Toc151193837"/>
      <w:r/>
      <w:bookmarkStart w:id="154" w:name="_Toc164351617"/>
      <w:r/>
      <w:bookmarkStart w:id="155" w:name="_Toc127161437"/>
      <w:r/>
      <w:bookmarkStart w:id="156" w:name="_Toc164229218"/>
      <w:r/>
      <w:bookmarkStart w:id="157" w:name="_Toc142311025"/>
      <w:r/>
      <w:bookmarkStart w:id="158" w:name="_Toc226337219"/>
      <w:r/>
      <w:bookmarkStart w:id="159" w:name="_Toc520356147"/>
      <w:r/>
      <w:bookmarkStart w:id="160" w:name="_Toc151193911"/>
      <w:r/>
      <w:bookmarkStart w:id="161" w:name="_Toc305158865"/>
      <w:r/>
      <w:bookmarkStart w:id="162" w:name="_Toc150774623"/>
      <w:r/>
      <w:bookmarkStart w:id="163" w:name="_Toc226965796"/>
      <w:r/>
      <w:bookmarkStart w:id="164" w:name="_Toc195842888"/>
      <w:r/>
      <w:bookmarkStart w:id="165" w:name="_Toc305158791"/>
      <w:r/>
      <w:bookmarkStart w:id="166" w:name="_Toc150509274"/>
      <w:r/>
      <w:bookmarkStart w:id="167" w:name="_Toc151193693"/>
      <w:r/>
      <w:bookmarkStart w:id="168" w:name="_Toc150774728"/>
      <w:r/>
      <w:bookmarkStart w:id="169" w:name="_Toc265228361"/>
      <w:r/>
      <w:bookmarkStart w:id="170" w:name="_Toc127151724"/>
      <w:r/>
      <w:bookmarkStart w:id="171" w:name="_Toc127151523"/>
      <w:r/>
      <w:bookmarkStart w:id="172" w:name="_Toc164608637"/>
      <w:r/>
      <w:bookmarkStart w:id="173" w:name="_Toc164608792"/>
      <w:r/>
      <w:bookmarkStart w:id="174" w:name="_Toc150480761"/>
      <w:r/>
      <w:bookmarkStart w:id="175" w:name="_Toc164229364"/>
      <w:r/>
      <w:bookmarkStart w:id="176" w:name="_Toc226309767"/>
      <w:r/>
      <w:bookmarkStart w:id="177" w:name="_Toc151190150"/>
      <w:r>
        <w:rPr>
          <w:rFonts w:hint="eastAsia" w:ascii="宋体" w:hAnsi="宋体" w:eastAsia="宋体" w:cs="宋体"/>
          <w:color w:val="000000"/>
          <w:sz w:val="24"/>
          <w:szCs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000000"/>
          <w:sz w:val="24"/>
          <w:szCs w:val="24"/>
          <w:highlight w:val="none"/>
        </w:rPr>
        <w:t xml:space="preserve">成</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竞争性磋商文件包括以下部分：</w:t>
      </w:r>
      <w:r>
        <w:rPr>
          <w:rFonts w:hint="eastAsia" w:ascii="宋体" w:hAnsi="宋体" w:eastAsia="宋体" w:cs="宋体"/>
          <w:color w:val="000000"/>
          <w:sz w:val="24"/>
          <w:szCs w:val="24"/>
          <w:highlight w:val="none"/>
        </w:rPr>
      </w:r>
      <w:r/>
    </w:p>
    <w:p>
      <w:pPr>
        <w:pStyle w:val="112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采购邀请</w:t>
      </w:r>
      <w:r>
        <w:rPr>
          <w:rFonts w:hint="eastAsia" w:ascii="宋体" w:hAnsi="宋体" w:eastAsia="宋体" w:cs="宋体"/>
          <w:color w:val="000000"/>
          <w:sz w:val="24"/>
          <w:szCs w:val="24"/>
          <w:highlight w:val="none"/>
        </w:rPr>
      </w:r>
      <w:r/>
    </w:p>
    <w:p>
      <w:pPr>
        <w:pStyle w:val="112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供应商须知</w:t>
      </w:r>
      <w:r>
        <w:rPr>
          <w:rFonts w:hint="eastAsia" w:ascii="宋体" w:hAnsi="宋体" w:eastAsia="宋体" w:cs="宋体"/>
          <w:color w:val="000000"/>
          <w:sz w:val="24"/>
          <w:szCs w:val="24"/>
          <w:highlight w:val="none"/>
        </w:rPr>
      </w:r>
      <w:r/>
    </w:p>
    <w:p>
      <w:pPr>
        <w:pStyle w:val="112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评审程序、评审方法和评审标准</w:t>
      </w:r>
      <w:r>
        <w:rPr>
          <w:rFonts w:hint="eastAsia" w:ascii="宋体" w:hAnsi="宋体" w:eastAsia="宋体" w:cs="宋体"/>
          <w:color w:val="000000"/>
          <w:sz w:val="24"/>
          <w:szCs w:val="24"/>
          <w:highlight w:val="none"/>
        </w:rPr>
      </w:r>
      <w:r/>
    </w:p>
    <w:p>
      <w:pPr>
        <w:pStyle w:val="112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112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1127"/>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响应文件格式</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对竞争性磋商文件的澄清或修改</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color w:val="000000"/>
          <w:sz w:val="24"/>
          <w:szCs w:val="24"/>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78" w:name="_Toc127151526"/>
      <w:r/>
      <w:bookmarkStart w:id="179" w:name="_Toc226309770"/>
      <w:r/>
      <w:bookmarkStart w:id="180" w:name="_Toc151193624"/>
      <w:r/>
      <w:bookmarkStart w:id="181" w:name="_Toc151193914"/>
      <w:r/>
      <w:bookmarkStart w:id="182" w:name="_Toc226965716"/>
      <w:r/>
      <w:bookmarkStart w:id="183" w:name="_Toc151190153"/>
      <w:r/>
      <w:bookmarkStart w:id="184" w:name="_Toc150509277"/>
      <w:r/>
      <w:bookmarkStart w:id="185" w:name="_Toc150774731"/>
      <w:r/>
      <w:bookmarkStart w:id="186" w:name="_Toc151193696"/>
      <w:r/>
      <w:bookmarkStart w:id="187" w:name="_Toc150774626"/>
      <w:r/>
      <w:bookmarkStart w:id="188" w:name="_Toc305158794"/>
      <w:r/>
      <w:bookmarkStart w:id="189" w:name="_Toc195842891"/>
      <w:r/>
      <w:bookmarkStart w:id="190" w:name="_Toc305158868"/>
      <w:r/>
      <w:bookmarkStart w:id="191" w:name="_Toc264969216"/>
      <w:r/>
      <w:bookmarkStart w:id="192" w:name="_Toc142311028"/>
      <w:r/>
      <w:bookmarkStart w:id="193" w:name="_Toc226965799"/>
      <w:r/>
      <w:bookmarkStart w:id="194" w:name="_Toc265228364"/>
      <w:r/>
      <w:bookmarkStart w:id="195" w:name="_Toc226337222"/>
      <w:r/>
      <w:bookmarkStart w:id="196" w:name="_Toc151193768"/>
      <w:r/>
      <w:bookmarkStart w:id="197" w:name="_Toc151193840"/>
      <w:r/>
      <w:bookmarkStart w:id="198" w:name="_Toc516367020"/>
      <w:r/>
      <w:bookmarkStart w:id="199" w:name="_Toc150480764"/>
      <w:r/>
      <w:bookmarkStart w:id="200" w:name="_Toc520356150"/>
      <w:r>
        <w:rPr>
          <w:rFonts w:hint="eastAsia" w:ascii="宋体" w:hAnsi="宋体" w:eastAsia="宋体" w:cs="Times New Roman"/>
          <w:b/>
          <w:bCs/>
          <w:color w:val="000000"/>
          <w:sz w:val="28"/>
          <w:szCs w:val="28"/>
          <w:highlight w:val="none"/>
          <w:lang w:val="en-US" w:eastAsia="zh-CN"/>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响应文件</w:t>
      </w:r>
      <w:bookmarkEnd w:id="198"/>
      <w:r>
        <w:rPr>
          <w:rFonts w:hint="eastAsia" w:ascii="宋体" w:hAnsi="宋体" w:eastAsia="宋体" w:cs="Times New Roman"/>
          <w:b/>
          <w:bCs/>
          <w:color w:val="000000"/>
          <w:sz w:val="28"/>
          <w:szCs w:val="28"/>
          <w:highlight w:val="none"/>
          <w:lang w:val="en-US" w:eastAsia="zh-CN"/>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9"/>
      <w:r/>
      <w:bookmarkEnd w:id="200"/>
      <w:r>
        <w:rPr>
          <w:rFonts w:hint="eastAsia" w:ascii="宋体" w:hAnsi="宋体" w:eastAsia="宋体" w:cs="Times New Roman"/>
          <w:b/>
          <w:bCs/>
          <w:color w:val="000000"/>
          <w:sz w:val="28"/>
          <w:szCs w:val="28"/>
          <w:highlight w:val="none"/>
          <w:lang w:val="en-US" w:eastAsia="zh-CN"/>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01" w:name="_Toc164229222"/>
      <w:r/>
      <w:bookmarkStart w:id="202" w:name="_Toc150774627"/>
      <w:r/>
      <w:bookmarkStart w:id="203" w:name="_Toc265228365"/>
      <w:r/>
      <w:bookmarkStart w:id="204" w:name="_Toc142311029"/>
      <w:r/>
      <w:bookmarkStart w:id="205" w:name="_Toc195842892"/>
      <w:r/>
      <w:bookmarkStart w:id="206" w:name="_Toc150509278"/>
      <w:r/>
      <w:bookmarkStart w:id="207" w:name="_Toc164229368"/>
      <w:r/>
      <w:bookmarkStart w:id="208" w:name="_Toc150480765"/>
      <w:r/>
      <w:bookmarkStart w:id="209" w:name="_Toc305158795"/>
      <w:r/>
      <w:bookmarkStart w:id="210" w:name="_Toc151193769"/>
      <w:r/>
      <w:bookmarkStart w:id="211" w:name="_Toc149720820"/>
      <w:r/>
      <w:bookmarkStart w:id="212" w:name="_Toc226337223"/>
      <w:r/>
      <w:bookmarkStart w:id="213" w:name="_Toc127151728"/>
      <w:r/>
      <w:bookmarkStart w:id="214" w:name="_Toc264969217"/>
      <w:r/>
      <w:bookmarkStart w:id="215" w:name="_Toc164351621"/>
      <w:r/>
      <w:bookmarkStart w:id="216" w:name="_Toc164608641"/>
      <w:r/>
      <w:bookmarkStart w:id="217" w:name="_Toc520356151"/>
      <w:r/>
      <w:bookmarkStart w:id="218" w:name="_Toc127151527"/>
      <w:r/>
      <w:bookmarkStart w:id="219" w:name="_Toc151193915"/>
      <w:r/>
      <w:bookmarkStart w:id="220" w:name="_Toc226309771"/>
      <w:r/>
      <w:bookmarkStart w:id="221" w:name="_Toc151193697"/>
      <w:r/>
      <w:bookmarkStart w:id="222" w:name="_Toc150774732"/>
      <w:r/>
      <w:bookmarkStart w:id="223" w:name="_Toc164608796"/>
      <w:r/>
      <w:bookmarkStart w:id="224" w:name="_Toc151193841"/>
      <w:r/>
      <w:bookmarkStart w:id="225" w:name="_Toc151190154"/>
      <w:r/>
      <w:bookmarkStart w:id="226" w:name="_Toc516367021"/>
      <w:r/>
      <w:bookmarkStart w:id="227" w:name="_Toc305158869"/>
      <w:r/>
      <w:bookmarkStart w:id="228" w:name="_Toc151193625"/>
      <w:r/>
      <w:bookmarkStart w:id="229" w:name="_Toc226965800"/>
      <w:r/>
      <w:bookmarkStart w:id="230" w:name="_Toc127161441"/>
      <w:r/>
      <w:bookmarkStart w:id="231" w:name="_Toc226965717"/>
      <w:r>
        <w:rPr>
          <w:rFonts w:hint="eastAsia" w:ascii="宋体" w:hAnsi="宋体" w:eastAsia="宋体" w:cs="宋体"/>
          <w:color w:val="000000"/>
          <w:sz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000000"/>
          <w:sz w:val="24"/>
          <w:highlight w:val="none"/>
        </w:rPr>
        <w:t xml:space="preserve">及磋商语言</w:t>
      </w:r>
      <w:r>
        <w:rPr>
          <w:rFonts w:hint="eastAsia" w:ascii="宋体" w:hAnsi="宋体" w:eastAsia="宋体" w:cs="宋体"/>
          <w:color w:val="000000"/>
          <w:sz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32" w:name="_Toc151193626"/>
      <w:r/>
      <w:bookmarkStart w:id="233" w:name="_Toc127151729"/>
      <w:r/>
      <w:bookmarkStart w:id="234" w:name="_Toc195842893"/>
      <w:r/>
      <w:bookmarkStart w:id="235" w:name="_Toc164608642"/>
      <w:r/>
      <w:bookmarkStart w:id="236" w:name="_Toc150774628"/>
      <w:r/>
      <w:bookmarkStart w:id="237" w:name="_Toc226965801"/>
      <w:r/>
      <w:bookmarkStart w:id="238" w:name="_Toc127161442"/>
      <w:r/>
      <w:bookmarkStart w:id="239" w:name="_Toc151193916"/>
      <w:r/>
      <w:bookmarkStart w:id="240" w:name="_Toc305158870"/>
      <w:r/>
      <w:bookmarkStart w:id="241" w:name="_Toc520356152"/>
      <w:r/>
      <w:bookmarkStart w:id="242" w:name="_Toc164351622"/>
      <w:r/>
      <w:bookmarkStart w:id="243" w:name="_Toc305158796"/>
      <w:r/>
      <w:bookmarkStart w:id="244" w:name="_Toc150480766"/>
      <w:r/>
      <w:bookmarkStart w:id="245" w:name="_Ref467306195"/>
      <w:r/>
      <w:bookmarkStart w:id="246" w:name="_Toc516367022"/>
      <w:r/>
      <w:bookmarkStart w:id="247" w:name="_Ref467306676"/>
      <w:r/>
      <w:bookmarkStart w:id="248" w:name="_Toc151193770"/>
      <w:r/>
      <w:bookmarkStart w:id="249" w:name="_Toc264969218"/>
      <w:r/>
      <w:bookmarkStart w:id="250" w:name="_Toc151190155"/>
      <w:r/>
      <w:bookmarkStart w:id="251" w:name="_Toc149720821"/>
      <w:r/>
      <w:bookmarkStart w:id="252" w:name="_Toc127151528"/>
      <w:r/>
      <w:bookmarkStart w:id="253" w:name="_Toc151193842"/>
      <w:r/>
      <w:bookmarkStart w:id="254" w:name="_Toc164229369"/>
      <w:r/>
      <w:bookmarkStart w:id="255" w:name="_Toc265228366"/>
      <w:r/>
      <w:bookmarkStart w:id="256" w:name="_Toc164608797"/>
      <w:r/>
      <w:bookmarkStart w:id="257" w:name="_Toc150774733"/>
      <w:r/>
      <w:bookmarkStart w:id="258" w:name="_Toc150509279"/>
      <w:r/>
      <w:bookmarkStart w:id="259" w:name="_Toc142311030"/>
      <w:r/>
      <w:bookmarkStart w:id="260" w:name="_Toc226309772"/>
      <w:r/>
      <w:bookmarkStart w:id="261" w:name="_Toc226965718"/>
      <w:r/>
      <w:bookmarkStart w:id="262" w:name="_Toc164229223"/>
      <w:r/>
      <w:bookmarkStart w:id="263" w:name="_Toc226337224"/>
      <w:r/>
      <w:bookmarkStart w:id="264" w:name="_Toc151193698"/>
      <w:r>
        <w:rPr>
          <w:rFonts w:hint="eastAsia" w:ascii="宋体" w:hAnsi="宋体" w:eastAsia="宋体" w:cs="宋体"/>
          <w:color w:val="000000"/>
          <w:sz w:val="24"/>
          <w:highlight w:val="none"/>
        </w:rPr>
        <w:t xml:space="preserve">响应文件</w:t>
      </w:r>
      <w:bookmarkEnd w:id="245"/>
      <w:r/>
      <w:bookmarkEnd w:id="246"/>
      <w:r/>
      <w:bookmarkEnd w:id="247"/>
      <w:r>
        <w:rPr>
          <w:rFonts w:hint="eastAsia" w:ascii="宋体" w:hAnsi="宋体" w:eastAsia="宋体" w:cs="宋体"/>
          <w:color w:val="000000"/>
          <w:sz w:val="24"/>
          <w:highlight w:val="none"/>
        </w:rPr>
        <w:t xml:space="preserve">构成</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65" w:name="_Ref467052588"/>
      <w:r>
        <w:rPr>
          <w:rFonts w:hint="eastAsia" w:ascii="宋体" w:hAnsi="宋体" w:eastAsia="宋体" w:cs="宋体"/>
          <w:color w:val="000000"/>
          <w:sz w:val="24"/>
          <w:highlight w:val="none"/>
        </w:rPr>
        <w:t xml:space="preserve">供应商应当按照竞争性磋商文件的要求编制响应文件，</w:t>
      </w:r>
      <w:r>
        <w:rPr>
          <w:rFonts w:hint="eastAsia" w:ascii="宋体" w:hAnsi="宋体" w:eastAsia="宋体" w:cs="宋体"/>
          <w:color w:val="000000"/>
          <w:sz w:val="24"/>
          <w:highlight w:val="none"/>
        </w:rPr>
        <w:t xml:space="preserve">并对其提交的响应文件的真实性、合法性承担法律责任</w:t>
      </w:r>
      <w:r>
        <w:rPr>
          <w:rFonts w:hint="eastAsia" w:ascii="宋体" w:hAnsi="宋体" w:eastAsia="宋体" w:cs="宋体"/>
          <w:color w:val="000000"/>
          <w:sz w:val="24"/>
          <w:highlight w:val="none"/>
        </w:rPr>
        <w:t xml:space="preserve">。响应文件的部分格式要求，见第六章《响应文件格式》。</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对于竞争性磋商文件中标记了“实质性格式”文件的，</w:t>
      </w:r>
      <w:r>
        <w:rPr>
          <w:rFonts w:hint="eastAsia" w:ascii="宋体" w:hAnsi="宋体" w:eastAsia="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highlight w:val="none"/>
        </w:rPr>
        <w:t xml:space="preserve">否则响应无效</w:t>
      </w:r>
      <w:r>
        <w:rPr>
          <w:rFonts w:hint="eastAsia" w:ascii="宋体" w:hAnsi="宋体" w:eastAsia="宋体" w:cs="宋体"/>
          <w:color w:val="000000"/>
          <w:sz w:val="24"/>
          <w:highlight w:val="none"/>
        </w:rPr>
        <w:t xml:space="preserve">。未标记“实质性格式”的文件和竞争性磋商文件未提供格式的内容，可由供应商自行编写。</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第三章《评审方法和评审标准》中涉及的证明文件。</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供应商认为应附的其他材料。</w:t>
      </w:r>
      <w:bookmarkEnd w:id="265"/>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66" w:name="_Toc151193628"/>
      <w:r/>
      <w:bookmarkStart w:id="267" w:name="_Toc151193844"/>
      <w:r/>
      <w:bookmarkStart w:id="268" w:name="_Toc164351624"/>
      <w:r/>
      <w:bookmarkStart w:id="269" w:name="_Toc150509281"/>
      <w:r/>
      <w:bookmarkStart w:id="270" w:name="_Toc127151731"/>
      <w:r/>
      <w:bookmarkStart w:id="271" w:name="_Toc142311032"/>
      <w:r/>
      <w:bookmarkStart w:id="272" w:name="_Toc195842895"/>
      <w:r/>
      <w:bookmarkStart w:id="273" w:name="_Toc151193918"/>
      <w:r/>
      <w:bookmarkStart w:id="274" w:name="_Toc164608644"/>
      <w:r/>
      <w:bookmarkStart w:id="275" w:name="_Toc127151530"/>
      <w:r/>
      <w:bookmarkStart w:id="276" w:name="_Toc150480768"/>
      <w:r/>
      <w:bookmarkStart w:id="277" w:name="_Toc164229225"/>
      <w:r/>
      <w:bookmarkStart w:id="278" w:name="_Toc127161444"/>
      <w:r/>
      <w:bookmarkStart w:id="279" w:name="_Toc150774735"/>
      <w:r/>
      <w:bookmarkStart w:id="280" w:name="_Toc151190157"/>
      <w:r/>
      <w:bookmarkStart w:id="281" w:name="_Toc149720823"/>
      <w:r/>
      <w:bookmarkStart w:id="282" w:name="_Toc520356155"/>
      <w:r/>
      <w:bookmarkStart w:id="283" w:name="_Toc151193772"/>
      <w:r/>
      <w:bookmarkStart w:id="284" w:name="_Toc164229371"/>
      <w:r/>
      <w:bookmarkStart w:id="285" w:name="_Toc150774630"/>
      <w:r/>
      <w:bookmarkStart w:id="286" w:name="_Toc151193700"/>
      <w:r/>
      <w:bookmarkStart w:id="287" w:name="_Toc164608799"/>
      <w:r>
        <w:rPr>
          <w:rFonts w:hint="eastAsia" w:ascii="宋体" w:hAnsi="宋体" w:eastAsia="宋体" w:cs="宋体"/>
          <w:color w:val="000000"/>
          <w:sz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所有响应均以人民币报价。</w:t>
      </w:r>
      <w:r>
        <w:rPr>
          <w:rFonts w:hint="eastAsia" w:ascii="宋体" w:hAnsi="宋体" w:eastAsia="宋体" w:cs="宋体"/>
          <w:color w:val="000000"/>
          <w:sz w:val="24"/>
          <w:highlight w:val="none"/>
        </w:rPr>
      </w:r>
      <w:r/>
    </w:p>
    <w:p>
      <w:pPr>
        <w:pStyle w:val="1127"/>
        <w:numPr>
          <w:ilvl w:val="1"/>
          <w:numId w:val="8"/>
        </w:numPr>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按照竞争性磋商文件要求完成本项目的全部相关服务费用。</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供应商不能提供任何有选择性或可调整的最终报价（</w:t>
      </w:r>
      <w:r>
        <w:rPr>
          <w:rFonts w:hint="eastAsia" w:ascii="宋体" w:hAnsi="宋体" w:eastAsia="宋体" w:cs="宋体"/>
          <w:color w:val="000000"/>
          <w:sz w:val="24"/>
          <w:highlight w:val="none"/>
        </w:rPr>
        <w:t xml:space="preserve">竞争性磋商文件</w:t>
      </w:r>
      <w:r>
        <w:rPr>
          <w:rFonts w:hint="eastAsia" w:ascii="宋体" w:hAnsi="宋体" w:eastAsia="宋体" w:cs="宋体"/>
          <w:color w:val="000000"/>
          <w:sz w:val="24"/>
          <w:highlight w:val="none"/>
        </w:rPr>
        <w:t xml:space="preserve">另有规定的除外），否则其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磋商保证金</w:t>
      </w:r>
      <w:r>
        <w:rPr>
          <w:rFonts w:hint="eastAsia" w:ascii="宋体" w:hAnsi="宋体" w:eastAsia="宋体" w:cs="宋体"/>
          <w:color w:val="000000"/>
          <w:sz w:val="24"/>
          <w:highlight w:val="none"/>
        </w:rPr>
      </w:r>
      <w:r/>
    </w:p>
    <w:p>
      <w:pPr>
        <w:pStyle w:val="1127"/>
        <w:ind w:firstLine="36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根据江苏省和常州市的相关文件规定，免收保证金。</w:t>
      </w:r>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88" w:name="_Toc150774633"/>
      <w:r/>
      <w:bookmarkStart w:id="289" w:name="_Toc142311035"/>
      <w:r/>
      <w:bookmarkStart w:id="290" w:name="_Toc305158875"/>
      <w:r/>
      <w:bookmarkStart w:id="291" w:name="_Toc226309777"/>
      <w:r/>
      <w:bookmarkStart w:id="292" w:name="_Toc164608647"/>
      <w:r/>
      <w:bookmarkStart w:id="293" w:name="_Toc151190160"/>
      <w:r/>
      <w:bookmarkStart w:id="294" w:name="_Toc151193847"/>
      <w:r/>
      <w:bookmarkStart w:id="295" w:name="_Toc150480771"/>
      <w:r/>
      <w:bookmarkStart w:id="296" w:name="_Toc226337229"/>
      <w:r/>
      <w:bookmarkStart w:id="297" w:name="_Toc164351627"/>
      <w:r/>
      <w:bookmarkStart w:id="298" w:name="_Toc127161447"/>
      <w:r/>
      <w:bookmarkStart w:id="299" w:name="_Toc264969223"/>
      <w:r/>
      <w:bookmarkStart w:id="300" w:name="_Toc265228371"/>
      <w:r/>
      <w:bookmarkStart w:id="301" w:name="_Toc164229374"/>
      <w:r/>
      <w:bookmarkStart w:id="302" w:name="_Toc151193631"/>
      <w:r/>
      <w:bookmarkStart w:id="303" w:name="_Toc150509284"/>
      <w:r/>
      <w:bookmarkStart w:id="304" w:name="_Toc127151533"/>
      <w:r/>
      <w:bookmarkStart w:id="305" w:name="_Toc195842898"/>
      <w:r/>
      <w:bookmarkStart w:id="306" w:name="_Toc150774738"/>
      <w:r/>
      <w:bookmarkStart w:id="307" w:name="_Toc305158801"/>
      <w:r/>
      <w:bookmarkStart w:id="308" w:name="_Toc226965806"/>
      <w:r/>
      <w:bookmarkStart w:id="309" w:name="_Toc164229228"/>
      <w:r/>
      <w:bookmarkStart w:id="310" w:name="_Toc151193921"/>
      <w:r/>
      <w:bookmarkStart w:id="311" w:name="_Toc149720826"/>
      <w:r/>
      <w:bookmarkStart w:id="312" w:name="_Toc520356158"/>
      <w:r/>
      <w:bookmarkStart w:id="313" w:name="_Toc226965723"/>
      <w:r/>
      <w:bookmarkStart w:id="314" w:name="_Toc127151734"/>
      <w:r/>
      <w:bookmarkStart w:id="315" w:name="_Toc164608802"/>
      <w:r/>
      <w:bookmarkStart w:id="316" w:name="_Toc151193775"/>
      <w:r/>
      <w:bookmarkStart w:id="317" w:name="_Toc151193703"/>
      <w:r>
        <w:rPr>
          <w:rFonts w:hint="eastAsia" w:ascii="宋体" w:hAnsi="宋体" w:eastAsia="宋体" w:cs="宋体"/>
          <w:color w:val="000000"/>
          <w:sz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竞争性磋商文件要求盖章的内容，一般通过</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编制工具加盖电子签章。</w:t>
      </w:r>
      <w:r>
        <w:rPr>
          <w:rFonts w:hint="eastAsia" w:ascii="宋体" w:hAnsi="宋体" w:eastAsia="宋体" w:cs="宋体"/>
          <w:color w:val="000000"/>
          <w:sz w:val="24"/>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18" w:name="_Toc226965724"/>
      <w:r/>
      <w:bookmarkStart w:id="319" w:name="_Toc226337230"/>
      <w:r/>
      <w:bookmarkStart w:id="320" w:name="_Toc195842899"/>
      <w:r/>
      <w:bookmarkStart w:id="321" w:name="_Toc305158876"/>
      <w:r/>
      <w:bookmarkStart w:id="322" w:name="_Toc150480772"/>
      <w:r/>
      <w:bookmarkStart w:id="323" w:name="_Toc151193704"/>
      <w:r/>
      <w:bookmarkStart w:id="324" w:name="_Toc226965807"/>
      <w:r/>
      <w:bookmarkStart w:id="325" w:name="_Toc264969224"/>
      <w:r/>
      <w:bookmarkStart w:id="326" w:name="_Toc151193632"/>
      <w:r/>
      <w:bookmarkStart w:id="327" w:name="_Toc127151534"/>
      <w:r/>
      <w:bookmarkStart w:id="328" w:name="_Toc151193848"/>
      <w:r/>
      <w:bookmarkStart w:id="329" w:name="_Toc520356159"/>
      <w:r/>
      <w:bookmarkStart w:id="330" w:name="_Toc226309778"/>
      <w:r/>
      <w:bookmarkStart w:id="331" w:name="_Toc151190161"/>
      <w:r/>
      <w:bookmarkStart w:id="332" w:name="_Toc150509285"/>
      <w:r/>
      <w:bookmarkStart w:id="333" w:name="_Toc305158802"/>
      <w:r/>
      <w:bookmarkStart w:id="334" w:name="_Toc151193776"/>
      <w:r/>
      <w:bookmarkStart w:id="335" w:name="_Toc265228372"/>
      <w:r/>
      <w:bookmarkStart w:id="336" w:name="_Toc151193922"/>
      <w:r/>
      <w:bookmarkStart w:id="337" w:name="_Toc142311036"/>
      <w:r/>
      <w:bookmarkStart w:id="338" w:name="_Toc150774634"/>
      <w:r/>
      <w:bookmarkStart w:id="339" w:name="_Toc150774739"/>
      <w:r>
        <w:rPr>
          <w:rFonts w:hint="eastAsia" w:ascii="宋体" w:hAnsi="宋体" w:eastAsia="宋体" w:cs="Times New Roman"/>
          <w:b/>
          <w:bCs/>
          <w:color w:val="000000"/>
          <w:sz w:val="28"/>
          <w:szCs w:val="28"/>
          <w:highlight w:val="none"/>
          <w:lang w:val="en-US" w:eastAsia="zh-CN"/>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eastAsia="宋体" w:cs="Times New Roman"/>
          <w:b/>
          <w:bCs/>
          <w:color w:val="000000"/>
          <w:sz w:val="28"/>
          <w:szCs w:val="28"/>
          <w:highlight w:val="none"/>
          <w:lang w:val="en-US" w:eastAsia="zh-CN"/>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40" w:name="_Toc226965725"/>
      <w:r/>
      <w:bookmarkStart w:id="341" w:name="_Toc195842900"/>
      <w:r/>
      <w:bookmarkStart w:id="342" w:name="_Toc264969225"/>
      <w:r/>
      <w:bookmarkStart w:id="343" w:name="_Toc150509286"/>
      <w:r/>
      <w:bookmarkStart w:id="344" w:name="_Toc226337231"/>
      <w:r/>
      <w:bookmarkStart w:id="345" w:name="_Toc149720828"/>
      <w:r/>
      <w:bookmarkStart w:id="346" w:name="_Toc151193705"/>
      <w:r/>
      <w:bookmarkStart w:id="347" w:name="_Toc226309779"/>
      <w:r/>
      <w:bookmarkStart w:id="348" w:name="_Toc151193777"/>
      <w:r/>
      <w:bookmarkStart w:id="349" w:name="_Toc164608804"/>
      <w:r/>
      <w:bookmarkStart w:id="350" w:name="_Toc142311037"/>
      <w:r/>
      <w:bookmarkStart w:id="351" w:name="_Toc164351629"/>
      <w:r/>
      <w:bookmarkStart w:id="352" w:name="_Toc151193923"/>
      <w:r/>
      <w:bookmarkStart w:id="353" w:name="_Toc164229376"/>
      <w:r/>
      <w:bookmarkStart w:id="354" w:name="_Toc265228373"/>
      <w:r/>
      <w:bookmarkStart w:id="355" w:name="_Toc305158803"/>
      <w:r/>
      <w:bookmarkStart w:id="356" w:name="_Toc305158877"/>
      <w:r/>
      <w:bookmarkStart w:id="357" w:name="_Toc151193849"/>
      <w:r/>
      <w:bookmarkStart w:id="358" w:name="_Toc164229230"/>
      <w:r/>
      <w:bookmarkStart w:id="359" w:name="_Toc151193633"/>
      <w:r/>
      <w:bookmarkStart w:id="360" w:name="_Toc164608649"/>
      <w:r/>
      <w:bookmarkStart w:id="361" w:name="_Toc150480773"/>
      <w:r/>
      <w:bookmarkStart w:id="362" w:name="_Toc150774635"/>
      <w:r/>
      <w:bookmarkStart w:id="363" w:name="_Toc151190162"/>
      <w:r/>
      <w:bookmarkStart w:id="364" w:name="_Toc226965808"/>
      <w:r/>
      <w:bookmarkStart w:id="365" w:name="_Toc127151736"/>
      <w:r/>
      <w:bookmarkStart w:id="366" w:name="_Toc127151535"/>
      <w:r/>
      <w:bookmarkStart w:id="367" w:name="_Toc150774740"/>
      <w:r/>
      <w:bookmarkStart w:id="368" w:name="_Toc127161449"/>
      <w:r/>
      <w:bookmarkStart w:id="369" w:name="_Toc520356160"/>
      <w:r>
        <w:rPr>
          <w:rFonts w:hint="eastAsia" w:ascii="宋体" w:hAnsi="宋体" w:eastAsia="宋体" w:cs="宋体"/>
          <w:color w:val="000000"/>
          <w:sz w:val="24"/>
          <w:highlight w:val="none"/>
        </w:rPr>
        <w:t xml:space="preserve">响应文件的提交</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本项目使用</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。供应商根据竞争性磋商文件及</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供应商操作手册要求编制、生成并提交电子响应文件。</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采购人及采购代理机构拒绝接受通过电子交易平台以外任何形式提交的响应文件。</w:t>
      </w:r>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响应文件截止时间</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供应商应在竞争性磋商文件要求提交响应文件截止时间前，将电子响应文件提交至</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响应文件的修改与撤回</w:t>
      </w:r>
      <w:r>
        <w:rPr>
          <w:rFonts w:hint="eastAsia" w:ascii="宋体" w:hAnsi="宋体" w:eastAsia="宋体" w:cs="宋体"/>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提交响应文件截止时间前，供应商可以通过电子交易平台对所提交的响应文件进行补充、修改或者撤回。</w:t>
      </w:r>
      <w:r>
        <w:rPr>
          <w:color w:val="000000"/>
          <w:sz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供应商对响应文件的补充、修改的内容应当按照竞争性磋商文件要求签署、盖章，作为响应文件的组成部分。补充、修改的内容与响应文件不一致的，以补</w:t>
      </w:r>
      <w:r>
        <w:rPr>
          <w:color w:val="000000"/>
          <w:sz w:val="24"/>
          <w:highlight w:val="none"/>
        </w:rPr>
        <w:t xml:space="preserve">充、修改的内容为准。</w:t>
      </w:r>
      <w:r>
        <w:rPr>
          <w:color w:val="000000"/>
          <w:sz w:val="24"/>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Times New Roman"/>
          <w:b/>
          <w:bCs/>
          <w:color w:val="000000"/>
          <w:sz w:val="28"/>
          <w:szCs w:val="28"/>
          <w:highlight w:val="none"/>
          <w:lang w:val="en-US" w:eastAsia="zh-CN"/>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70" w:name="_Toc150480776"/>
      <w:r/>
      <w:bookmarkStart w:id="371" w:name="_Toc151193708"/>
      <w:r/>
      <w:bookmarkStart w:id="372" w:name="_Toc151193636"/>
      <w:r/>
      <w:bookmarkStart w:id="373" w:name="_Toc151190165"/>
      <w:r/>
      <w:bookmarkStart w:id="374" w:name="_Toc151193926"/>
      <w:r/>
      <w:bookmarkStart w:id="375" w:name="_Toc226965728"/>
      <w:r/>
      <w:bookmarkStart w:id="376" w:name="_Toc142311040"/>
      <w:r/>
      <w:bookmarkStart w:id="377" w:name="_Toc265228376"/>
      <w:r/>
      <w:bookmarkStart w:id="378" w:name="_Toc150774638"/>
      <w:r/>
      <w:bookmarkStart w:id="379" w:name="_Toc195842903"/>
      <w:r/>
      <w:bookmarkStart w:id="380" w:name="_Toc226309782"/>
      <w:r/>
      <w:bookmarkStart w:id="381" w:name="_Toc264969228"/>
      <w:r/>
      <w:bookmarkStart w:id="382" w:name="_Toc520356163"/>
      <w:r/>
      <w:bookmarkStart w:id="383" w:name="_Toc127151538"/>
      <w:r/>
      <w:bookmarkStart w:id="384" w:name="_Toc151193852"/>
      <w:r/>
      <w:bookmarkStart w:id="385" w:name="_Toc305158880"/>
      <w:r/>
      <w:bookmarkStart w:id="386" w:name="_Toc226337234"/>
      <w:r/>
      <w:bookmarkStart w:id="387" w:name="_Toc150509289"/>
      <w:r/>
      <w:bookmarkStart w:id="388" w:name="_Toc151193780"/>
      <w:r/>
      <w:bookmarkStart w:id="389" w:name="_Toc226965811"/>
      <w:r/>
      <w:bookmarkStart w:id="390" w:name="_Toc305158806"/>
      <w:r/>
      <w:bookmarkStart w:id="391" w:name="_Toc150774743"/>
      <w:r>
        <w:rPr>
          <w:rFonts w:hint="eastAsia" w:ascii="宋体" w:hAnsi="宋体" w:eastAsia="宋体" w:cs="Times New Roman"/>
          <w:b/>
          <w:bCs/>
          <w:color w:val="000000"/>
          <w:sz w:val="28"/>
          <w:szCs w:val="28"/>
          <w:highlight w:val="none"/>
          <w:lang w:val="en-US" w:eastAsia="zh-CN"/>
        </w:rPr>
        <w:t xml:space="preserve">五   </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cs="Times New Roman"/>
          <w:b/>
          <w:bCs/>
          <w:color w:val="000000"/>
          <w:sz w:val="28"/>
          <w:szCs w:val="28"/>
          <w:highlight w:val="none"/>
          <w:lang w:val="en-US" w:eastAsia="zh-CN"/>
        </w:rPr>
        <w:t xml:space="preserve">评审</w:t>
      </w:r>
      <w:r>
        <w:rPr>
          <w:rFonts w:hint="eastAsia" w:ascii="宋体" w:hAnsi="宋体" w:eastAsia="宋体" w:cs="Times New Roman"/>
          <w:b/>
          <w:bCs/>
          <w:color w:val="000000"/>
          <w:sz w:val="28"/>
          <w:szCs w:val="28"/>
          <w:highlight w:val="none"/>
          <w:lang w:val="en-US" w:eastAsia="zh-CN"/>
        </w:rPr>
      </w:r>
      <w:r/>
    </w:p>
    <w:p>
      <w:pPr>
        <w:pStyle w:val="112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92" w:name="_Toc520356169"/>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393" w:name="_Toc520356165"/>
      <w:r>
        <w:rPr>
          <w:color w:val="000000"/>
          <w:sz w:val="24"/>
          <w:highlight w:val="none"/>
        </w:rPr>
        <w:t xml:space="preserve">本项目不公开报价。</w:t>
      </w:r>
      <w:r>
        <w:rPr>
          <w:rFonts w:hint="eastAsia"/>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12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12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12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127"/>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127"/>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127"/>
        <w:numPr>
          <w:ilvl w:val="0"/>
          <w:numId w:val="8"/>
        </w:numPr>
        <w:ind w:left="357" w:hanging="357"/>
        <w:spacing w:line="360" w:lineRule="auto"/>
        <w:tabs>
          <w:tab w:val="left" w:pos="360" w:leader="none"/>
          <w:tab w:val="left" w:pos="900" w:leader="none"/>
        </w:tabs>
        <w:rPr>
          <w:color w:val="000000"/>
          <w:sz w:val="24"/>
          <w:highlight w:val="none"/>
        </w:rPr>
        <w:outlineLvl w:val="1"/>
      </w:pPr>
      <w:r/>
      <w:bookmarkEnd w:id="393"/>
      <w:r>
        <w:rPr>
          <w:color w:val="000000"/>
          <w:sz w:val="24"/>
          <w:highlight w:val="none"/>
        </w:rPr>
        <w:t xml:space="preserve">磋商小组</w:t>
      </w:r>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394" w:name="_Toc520356166"/>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394"/>
      <w:r>
        <w:rPr>
          <w:color w:val="000000"/>
          <w:sz w:val="24"/>
          <w:highlight w:val="none"/>
        </w:rPr>
      </w:r>
      <w:r/>
    </w:p>
    <w:p>
      <w:pPr>
        <w:pStyle w:val="1127"/>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12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95" w:name="_Toc127151545"/>
      <w:r/>
      <w:bookmarkStart w:id="396" w:name="_Toc142311047"/>
      <w:r/>
      <w:bookmarkStart w:id="397" w:name="_Toc151193859"/>
      <w:r/>
      <w:bookmarkStart w:id="398" w:name="_Toc264969235"/>
      <w:r/>
      <w:bookmarkStart w:id="399" w:name="_Toc305158887"/>
      <w:r/>
      <w:bookmarkStart w:id="400" w:name="_Toc151193643"/>
      <w:r/>
      <w:bookmarkStart w:id="401" w:name="_Toc226309789"/>
      <w:r/>
      <w:bookmarkStart w:id="402" w:name="_Toc195842910"/>
      <w:r/>
      <w:bookmarkStart w:id="403" w:name="_Toc150509296"/>
      <w:r/>
      <w:bookmarkStart w:id="404" w:name="_Toc150480783"/>
      <w:r/>
      <w:bookmarkStart w:id="405" w:name="_Toc226337241"/>
      <w:r/>
      <w:bookmarkStart w:id="406" w:name="_Toc151193933"/>
      <w:r/>
      <w:bookmarkStart w:id="407" w:name="_Toc265228383"/>
      <w:r/>
      <w:bookmarkStart w:id="408" w:name="_Toc150774645"/>
      <w:r/>
      <w:bookmarkStart w:id="409" w:name="_Toc151193715"/>
      <w:r/>
      <w:bookmarkStart w:id="410" w:name="_Toc151190172"/>
      <w:r/>
      <w:bookmarkStart w:id="411" w:name="_Toc151193787"/>
      <w:r/>
      <w:bookmarkStart w:id="412" w:name="_Toc226965818"/>
      <w:r/>
      <w:bookmarkStart w:id="413" w:name="_Toc305158813"/>
      <w:r/>
      <w:bookmarkStart w:id="414" w:name="_Toc226965735"/>
      <w:r/>
      <w:bookmarkStart w:id="415" w:name="_Toc150774750"/>
      <w:r>
        <w:rPr>
          <w:rFonts w:hint="eastAsia" w:ascii="宋体" w:hAnsi="宋体" w:eastAsia="宋体" w:cs="Times New Roman"/>
          <w:b/>
          <w:bCs/>
          <w:color w:val="000000"/>
          <w:sz w:val="28"/>
          <w:szCs w:val="28"/>
          <w:highlight w:val="none"/>
          <w:lang w:val="en-US" w:eastAsia="zh-CN"/>
        </w:rPr>
        <w:t xml:space="preserve">六   </w:t>
      </w:r>
      <w:bookmarkEnd w:id="392"/>
      <w:r>
        <w:rPr>
          <w:rFonts w:hint="eastAsia" w:ascii="宋体" w:hAnsi="宋体" w:eastAsia="宋体" w:cs="Times New Roman"/>
          <w:b/>
          <w:bCs/>
          <w:color w:val="000000"/>
          <w:sz w:val="28"/>
          <w:szCs w:val="28"/>
          <w:highlight w:val="none"/>
          <w:lang w:val="en-US" w:eastAsia="zh-CN"/>
        </w:rPr>
        <w:t xml:space="preserve">确定</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Times New Roman"/>
          <w:b/>
          <w:bCs/>
          <w:color w:val="000000"/>
          <w:sz w:val="28"/>
          <w:szCs w:val="28"/>
          <w:highlight w:val="none"/>
          <w:lang w:val="en-US" w:eastAsia="zh-CN"/>
        </w:rPr>
        <w:t xml:space="preserve">成交</w:t>
      </w:r>
      <w:r>
        <w:rPr>
          <w:rFonts w:hint="eastAsia" w:ascii="宋体" w:hAnsi="宋体" w:eastAsia="宋体" w:cs="Times New Roman"/>
          <w:b/>
          <w:bCs/>
          <w:color w:val="000000"/>
          <w:sz w:val="28"/>
          <w:szCs w:val="28"/>
          <w:highlight w:val="none"/>
          <w:lang w:val="en-US" w:eastAsia="zh-CN"/>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16" w:name="_Toc127151547"/>
      <w:r/>
      <w:bookmarkStart w:id="417" w:name="_Toc305158815"/>
      <w:r/>
      <w:bookmarkStart w:id="418" w:name="_Toc150774752"/>
      <w:r/>
      <w:bookmarkStart w:id="419" w:name="_Toc264969237"/>
      <w:r/>
      <w:bookmarkStart w:id="420" w:name="_Toc164351641"/>
      <w:r/>
      <w:bookmarkStart w:id="421" w:name="_Toc151193645"/>
      <w:r/>
      <w:bookmarkStart w:id="422" w:name="_Toc226309791"/>
      <w:r/>
      <w:bookmarkStart w:id="423" w:name="_Toc127161461"/>
      <w:r/>
      <w:bookmarkStart w:id="424" w:name="_Toc150509298"/>
      <w:r/>
      <w:bookmarkStart w:id="425" w:name="_Toc265228385"/>
      <w:r/>
      <w:bookmarkStart w:id="426" w:name="_Toc150774647"/>
      <w:r/>
      <w:bookmarkStart w:id="427" w:name="_Toc151193861"/>
      <w:r/>
      <w:bookmarkStart w:id="428" w:name="_Toc142311049"/>
      <w:r/>
      <w:bookmarkStart w:id="429" w:name="_Toc151193789"/>
      <w:r/>
      <w:bookmarkStart w:id="430" w:name="_Toc151193935"/>
      <w:r/>
      <w:bookmarkStart w:id="431" w:name="_Toc195842912"/>
      <w:r/>
      <w:bookmarkStart w:id="432" w:name="_Toc164608661"/>
      <w:r/>
      <w:bookmarkStart w:id="433" w:name="_Toc226337243"/>
      <w:r/>
      <w:bookmarkStart w:id="434" w:name="_Toc151193717"/>
      <w:r/>
      <w:bookmarkStart w:id="435" w:name="_Toc305158889"/>
      <w:r/>
      <w:bookmarkStart w:id="436" w:name="_Toc226965820"/>
      <w:r/>
      <w:bookmarkStart w:id="437" w:name="_Toc149720840"/>
      <w:r/>
      <w:bookmarkStart w:id="438" w:name="_Toc151190174"/>
      <w:r/>
      <w:bookmarkStart w:id="439" w:name="_Toc164229242"/>
      <w:r/>
      <w:bookmarkStart w:id="440" w:name="_Toc127151748"/>
      <w:r/>
      <w:bookmarkStart w:id="441" w:name="_Toc226965737"/>
      <w:r/>
      <w:bookmarkStart w:id="442" w:name="_Toc164608816"/>
      <w:r/>
      <w:bookmarkStart w:id="443" w:name="_Toc150480785"/>
      <w:r/>
      <w:bookmarkStart w:id="444" w:name="_Toc164229388"/>
      <w:r>
        <w:rPr>
          <w:rFonts w:hint="eastAsia" w:ascii="宋体" w:hAnsi="宋体" w:eastAsia="宋体" w:cs="宋体"/>
          <w:color w:val="000000"/>
          <w:sz w:val="24"/>
          <w:szCs w:val="24"/>
          <w:highlight w:val="none"/>
        </w:rPr>
        <w:t xml:space="preserve">确定成交供应商</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45" w:name="_Toc142311051"/>
      <w:r/>
      <w:bookmarkStart w:id="446" w:name="_Toc226965822"/>
      <w:r/>
      <w:bookmarkStart w:id="447" w:name="_Toc151193863"/>
      <w:r/>
      <w:bookmarkStart w:id="448" w:name="_Toc151193937"/>
      <w:r/>
      <w:bookmarkStart w:id="449" w:name="_Toc150774754"/>
      <w:r/>
      <w:bookmarkStart w:id="450" w:name="_Toc265228387"/>
      <w:r/>
      <w:bookmarkStart w:id="451" w:name="_Toc164608818"/>
      <w:r/>
      <w:bookmarkStart w:id="452" w:name="_Toc164229244"/>
      <w:r/>
      <w:bookmarkStart w:id="453" w:name="_Toc150774649"/>
      <w:r/>
      <w:bookmarkStart w:id="454" w:name="_Toc226337245"/>
      <w:r/>
      <w:bookmarkStart w:id="455" w:name="_Toc151193719"/>
      <w:r/>
      <w:bookmarkStart w:id="456" w:name="_Toc151193647"/>
      <w:r/>
      <w:bookmarkStart w:id="457" w:name="_Toc150509300"/>
      <w:r/>
      <w:bookmarkStart w:id="458" w:name="_Toc127161463"/>
      <w:r/>
      <w:bookmarkStart w:id="459" w:name="_Toc164351643"/>
      <w:r/>
      <w:bookmarkStart w:id="460" w:name="_Toc127151549"/>
      <w:r/>
      <w:bookmarkStart w:id="461" w:name="_Toc164229390"/>
      <w:r/>
      <w:bookmarkStart w:id="462" w:name="_Toc149720842"/>
      <w:r/>
      <w:bookmarkStart w:id="463" w:name="_Toc151193791"/>
      <w:r/>
      <w:bookmarkStart w:id="464" w:name="_Toc127151750"/>
      <w:r/>
      <w:bookmarkStart w:id="465" w:name="_Toc226965739"/>
      <w:r/>
      <w:bookmarkStart w:id="466" w:name="_Toc264969239"/>
      <w:r/>
      <w:bookmarkStart w:id="467" w:name="_Toc150480787"/>
      <w:r/>
      <w:bookmarkStart w:id="468" w:name="_Toc305158817"/>
      <w:r/>
      <w:bookmarkStart w:id="469" w:name="_Toc164608663"/>
      <w:r/>
      <w:bookmarkStart w:id="470" w:name="_Toc305158891"/>
      <w:r/>
      <w:bookmarkStart w:id="471" w:name="_Toc226309793"/>
      <w:r/>
      <w:bookmarkStart w:id="472" w:name="_Toc195842914"/>
      <w:r/>
      <w:bookmarkStart w:id="473" w:name="_Ref467306425"/>
      <w:r/>
      <w:bookmarkStart w:id="474" w:name="_Toc151190176"/>
      <w:r/>
      <w:bookmarkStart w:id="475" w:name="_Toc520356176"/>
      <w:r/>
      <w:bookmarkStart w:id="476" w:name="_Ref467307090"/>
      <w:r>
        <w:rPr>
          <w:rFonts w:hint="eastAsia" w:ascii="宋体" w:hAnsi="宋体" w:eastAsia="宋体" w:cs="宋体"/>
          <w:color w:val="000000"/>
          <w:sz w:val="24"/>
          <w:szCs w:val="24"/>
          <w:highlight w:val="none"/>
        </w:rPr>
        <w:t xml:space="preserve">成交公告与成交通知书</w:t>
      </w:r>
      <w:bookmarkEnd w:id="468"/>
      <w:r/>
      <w:bookmarkEnd w:id="470"/>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采购人或采购代理机构将</w:t>
      </w:r>
      <w:r>
        <w:rPr>
          <w:rFonts w:hint="eastAsia" w:ascii="宋体" w:hAnsi="宋体" w:eastAsia="宋体" w:cs="宋体"/>
          <w:color w:val="000000"/>
          <w:sz w:val="24"/>
          <w:szCs w:val="24"/>
          <w:highlight w:val="none"/>
        </w:rPr>
        <w:t xml:space="preserve">在成交供应商确定后2个工作日内，在</w:t>
      </w:r>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常州市政府采购网和江苏尚阳工程管理有限公司网</w:t>
      </w:r>
      <w:r>
        <w:rPr>
          <w:rFonts w:hint="eastAsia" w:ascii="宋体" w:hAnsi="宋体" w:eastAsia="宋体" w:cs="宋体"/>
          <w:color w:val="000000"/>
          <w:sz w:val="24"/>
          <w:szCs w:val="24"/>
          <w:highlight w:val="none"/>
        </w:rPr>
        <w:t xml:space="preserve">公告成交结果，同时向成交供应商发出成交通知书，</w:t>
      </w:r>
      <w:r>
        <w:rPr>
          <w:rFonts w:hint="eastAsia" w:ascii="宋体" w:hAnsi="宋体" w:eastAsia="宋体" w:cs="宋体"/>
          <w:color w:val="000000"/>
          <w:sz w:val="24"/>
          <w:szCs w:val="24"/>
          <w:highlight w:val="none"/>
        </w:rPr>
        <w:t xml:space="preserve">成交公告期限为1个工作日。</w:t>
      </w:r>
      <w:r>
        <w:rPr>
          <w:rFonts w:hint="eastAsia" w:ascii="宋体" w:hAnsi="宋体" w:eastAsia="宋体" w:cs="宋体"/>
          <w:color w:val="000000"/>
          <w:sz w:val="24"/>
          <w:szCs w:val="24"/>
          <w:highlight w:val="none"/>
        </w:rPr>
      </w:r>
      <w:r/>
    </w:p>
    <w:p>
      <w:pPr>
        <w:pStyle w:val="1127"/>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因情况变化，不再符合规定的竞争性磋商采购方式适用情形的；</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127"/>
        <w:numPr>
          <w:ilvl w:val="2"/>
          <w:numId w:val="8"/>
        </w:numPr>
        <w:spacing w:line="360" w:lineRule="auto"/>
        <w:tabs>
          <w:tab w:val="left" w:pos="1980" w:leader="none"/>
        </w:tabs>
        <w:rPr>
          <w:color w:val="000000"/>
          <w:sz w:val="24"/>
          <w:highlight w:val="none"/>
        </w:rPr>
      </w:pPr>
      <w:r>
        <w:rPr>
          <w:rFonts w:hint="eastAsia" w:ascii="宋体" w:hAnsi="宋体" w:eastAsia="宋体" w:cs="宋体"/>
          <w:color w:val="000000"/>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sz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9"/>
      <w:r/>
      <w:bookmarkEnd w:id="471"/>
      <w:r/>
      <w:bookmarkEnd w:id="472"/>
      <w:r/>
      <w:bookmarkEnd w:id="474"/>
      <w:r/>
      <w:bookmarkStart w:id="477" w:name="_Toc265228388"/>
      <w:r/>
      <w:bookmarkStart w:id="478" w:name="_Ref467306978"/>
      <w:r/>
      <w:bookmarkStart w:id="479" w:name="_Toc127161464"/>
      <w:r/>
      <w:bookmarkStart w:id="480" w:name="_Toc305158818"/>
      <w:r/>
      <w:bookmarkStart w:id="481" w:name="_Toc151193864"/>
      <w:r/>
      <w:bookmarkStart w:id="482" w:name="_Toc151193648"/>
      <w:r/>
      <w:bookmarkStart w:id="483" w:name="_Toc226965823"/>
      <w:r/>
      <w:bookmarkStart w:id="484" w:name="_Toc127151751"/>
      <w:r/>
      <w:bookmarkStart w:id="485" w:name="_Toc164351644"/>
      <w:r/>
      <w:bookmarkStart w:id="486" w:name="_Toc264969240"/>
      <w:r/>
      <w:bookmarkStart w:id="487" w:name="_Ref467307204"/>
      <w:r/>
      <w:bookmarkStart w:id="488" w:name="_Toc150509301"/>
      <w:r/>
      <w:bookmarkStart w:id="489" w:name="_Toc226309794"/>
      <w:r/>
      <w:bookmarkStart w:id="490" w:name="_Toc151193792"/>
      <w:r/>
      <w:bookmarkStart w:id="491" w:name="_Toc164608819"/>
      <w:r/>
      <w:bookmarkStart w:id="492" w:name="_Toc150774650"/>
      <w:r/>
      <w:bookmarkStart w:id="493" w:name="_Toc142311052"/>
      <w:r/>
      <w:bookmarkStart w:id="494" w:name="_Ref467307062"/>
      <w:r/>
      <w:bookmarkStart w:id="495" w:name="_Toc149720843"/>
      <w:r/>
      <w:bookmarkStart w:id="496" w:name="_Toc164229245"/>
      <w:r/>
      <w:bookmarkStart w:id="497" w:name="_Toc520356175"/>
      <w:r/>
      <w:bookmarkStart w:id="498" w:name="_Toc127151550"/>
      <w:r/>
      <w:bookmarkStart w:id="499" w:name="_Toc150774755"/>
      <w:r/>
      <w:bookmarkStart w:id="500" w:name="_Toc150480788"/>
      <w:r/>
      <w:bookmarkStart w:id="501" w:name="_Toc164608664"/>
      <w:r/>
      <w:bookmarkStart w:id="502" w:name="_Toc151193938"/>
      <w:r/>
      <w:bookmarkStart w:id="503" w:name="_Toc195842915"/>
      <w:r/>
      <w:bookmarkStart w:id="504" w:name="_Toc305158892"/>
      <w:r/>
      <w:bookmarkStart w:id="505" w:name="_Ref467306377"/>
      <w:r/>
      <w:bookmarkStart w:id="506" w:name="_Toc226337246"/>
      <w:r/>
      <w:bookmarkStart w:id="507" w:name="_Toc226965740"/>
      <w:r/>
      <w:bookmarkStart w:id="508" w:name="_Toc151190177"/>
      <w:r/>
      <w:bookmarkStart w:id="509" w:name="_Toc164229391"/>
      <w:r/>
      <w:bookmarkStart w:id="510" w:name="_Toc151193720"/>
      <w:r>
        <w:rPr>
          <w:rFonts w:hint="eastAsia" w:ascii="宋体" w:hAnsi="宋体" w:eastAsia="宋体" w:cs="宋体"/>
          <w:color w:val="000000"/>
          <w:sz w:val="24"/>
          <w:szCs w:val="24"/>
          <w:highlight w:val="none"/>
        </w:rPr>
        <w:t xml:space="preserve">签订合同</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采购人与成交供应商将在成交通知书发出之日起30日内，按照磋商文件确定的合同文本以及采购标的、采购金额、采购数量、技术和服务要求等事项签订政府采购合同。</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本项目是否允许分包，见《供应商须知资料表》。</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73"/>
      <w:r/>
      <w:bookmarkEnd w:id="475"/>
      <w:r/>
      <w:bookmarkEnd w:id="476"/>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206"/>
          <w:rFonts w:hint="eastAsia" w:ascii="宋体" w:hAnsi="宋体" w:eastAsia="宋体" w:cs="宋体"/>
          <w:color w:val="000000"/>
          <w:sz w:val="24"/>
          <w:szCs w:val="24"/>
          <w:highlight w:val="none"/>
        </w:rPr>
        <w:t xml:space="preserve">http://gk</w:t>
      </w:r>
      <w:bookmarkStart w:id="511" w:name="_Hlt100654014"/>
      <w:r>
        <w:rPr>
          <w:rStyle w:val="1206"/>
          <w:rFonts w:hint="eastAsia" w:ascii="宋体" w:hAnsi="宋体" w:eastAsia="宋体" w:cs="宋体"/>
          <w:color w:val="000000"/>
          <w:sz w:val="24"/>
          <w:szCs w:val="24"/>
          <w:highlight w:val="none"/>
        </w:rPr>
        <w:t xml:space="preserve">s</w:t>
      </w:r>
      <w:bookmarkEnd w:id="511"/>
      <w:r>
        <w:rPr>
          <w:rStyle w:val="1206"/>
          <w:rFonts w:hint="eastAsia" w:ascii="宋体" w:hAnsi="宋体" w:eastAsia="宋体" w:cs="宋体"/>
          <w:color w:val="000000"/>
          <w:sz w:val="24"/>
          <w:szCs w:val="24"/>
          <w:highlight w:val="none"/>
        </w:rPr>
        <w:t xml:space="preserve">.m</w:t>
      </w:r>
      <w:bookmarkStart w:id="512" w:name="_Hlt100653994"/>
      <w:r/>
      <w:bookmarkStart w:id="513" w:name="_Hlt100653993"/>
      <w:r>
        <w:rPr>
          <w:rStyle w:val="1206"/>
          <w:rFonts w:hint="eastAsia" w:ascii="宋体" w:hAnsi="宋体" w:eastAsia="宋体" w:cs="宋体"/>
          <w:color w:val="000000"/>
          <w:sz w:val="24"/>
          <w:szCs w:val="24"/>
          <w:highlight w:val="none"/>
        </w:rPr>
        <w:t xml:space="preserve">o</w:t>
      </w:r>
      <w:bookmarkEnd w:id="512"/>
      <w:r/>
      <w:bookmarkEnd w:id="513"/>
      <w:r/>
      <w:bookmarkStart w:id="514" w:name="_Hlt101169156"/>
      <w:r>
        <w:rPr>
          <w:rStyle w:val="1206"/>
          <w:rFonts w:hint="eastAsia" w:ascii="宋体" w:hAnsi="宋体" w:eastAsia="宋体" w:cs="宋体"/>
          <w:color w:val="000000"/>
          <w:sz w:val="24"/>
          <w:szCs w:val="24"/>
          <w:highlight w:val="none"/>
        </w:rPr>
        <w:t xml:space="preserve">f</w:t>
      </w:r>
      <w:bookmarkEnd w:id="514"/>
      <w:r>
        <w:rPr>
          <w:rStyle w:val="1206"/>
          <w:rFonts w:hint="eastAsia" w:ascii="宋体" w:hAnsi="宋体" w:eastAsia="宋体" w:cs="宋体"/>
          <w:color w:val="000000"/>
          <w:sz w:val="24"/>
          <w:szCs w:val="24"/>
          <w:highlight w:val="none"/>
        </w:rPr>
        <w:t xml:space="preserve">.gov.cn/ztztz/zhengfucaigouguanli/201802/t20180201_2804589.htm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1127"/>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接收询问和质疑的联系部门、联系电话和通讯地址见《供应商须知资料表》。</w:t>
      </w:r>
      <w:r>
        <w:rPr>
          <w:rFonts w:hint="eastAsia" w:ascii="宋体" w:hAnsi="宋体" w:eastAsia="宋体" w:cs="宋体"/>
          <w:color w:val="000000"/>
          <w:sz w:val="24"/>
          <w:szCs w:val="24"/>
          <w:highlight w:val="none"/>
        </w:rPr>
      </w:r>
      <w:r/>
    </w:p>
    <w:p>
      <w:pPr>
        <w:pStyle w:val="1127"/>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1127"/>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color w:val="000000"/>
          <w:sz w:val="24"/>
          <w:szCs w:val="24"/>
          <w:highlight w:val="none"/>
        </w:rPr>
      </w:r>
      <w:r/>
    </w:p>
    <w:p>
      <w:pPr>
        <w:pStyle w:val="1127"/>
        <w:jc w:val="center"/>
        <w:keepLines w:val="0"/>
        <w:keepNext w:val="0"/>
        <w:pageBreakBefore w:val="0"/>
        <w:spacing w:line="360" w:lineRule="auto"/>
        <w:widowControl w:val="off"/>
        <w:rPr>
          <w:b/>
          <w:color w:val="000000"/>
          <w:sz w:val="36"/>
          <w:szCs w:val="36"/>
          <w:highlight w:val="none"/>
        </w:rPr>
        <w:outlineLvl w:val="0"/>
      </w:pPr>
      <w:r/>
      <w:bookmarkStart w:id="515" w:name="_Toc353873664"/>
      <w:r/>
      <w:bookmarkStart w:id="516" w:name="_Toc104818927"/>
      <w:r/>
      <w:bookmarkStart w:id="517" w:name="_Toc2600"/>
      <w:r/>
      <w:bookmarkStart w:id="518" w:name="_Toc305158896"/>
      <w:r/>
      <w:bookmarkStart w:id="519" w:name="_Toc142311056"/>
      <w:r/>
      <w:bookmarkStart w:id="520" w:name="_Toc150480792"/>
      <w:r/>
      <w:bookmarkStart w:id="521" w:name="_Toc353825544"/>
      <w:r/>
      <w:bookmarkStart w:id="522" w:name="_Toc265228392"/>
      <w:r/>
      <w:bookmarkStart w:id="523" w:name="_Toc226965827"/>
      <w:r/>
      <w:bookmarkStart w:id="524" w:name="_Toc264969244"/>
      <w:r/>
      <w:bookmarkStart w:id="525" w:name="_Toc150774759"/>
      <w:r/>
      <w:bookmarkStart w:id="526" w:name="_Toc127151554"/>
      <w:r/>
      <w:bookmarkStart w:id="527" w:name="_Toc353873934"/>
      <w:r/>
      <w:bookmarkStart w:id="528" w:name="_Toc305158822"/>
      <w:r/>
      <w:bookmarkStart w:id="529" w:name="_Toc226337250"/>
      <w:r>
        <w:rPr>
          <w:b/>
          <w:color w:val="000000"/>
          <w:sz w:val="36"/>
          <w:szCs w:val="36"/>
          <w:highlight w:val="none"/>
        </w:rPr>
        <w:t xml:space="preserve">第三章   </w:t>
      </w:r>
      <w:bookmarkEnd w:id="515"/>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16"/>
      <w:r/>
      <w:bookmarkEnd w:id="517"/>
      <w:r/>
      <w:bookmarkStart w:id="530" w:name="_Toc487900382"/>
      <w:r>
        <w:rPr>
          <w:b/>
          <w:color w:val="000000"/>
          <w:sz w:val="36"/>
          <w:szCs w:val="36"/>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一、评审程序</w:t>
      </w:r>
      <w:r>
        <w:rPr>
          <w:rFonts w:hint="eastAsia" w:ascii="宋体" w:hAnsi="宋体" w:eastAsia="宋体" w:cs="Times New Roman"/>
          <w:b/>
          <w:bCs/>
          <w:color w:val="000000"/>
          <w:sz w:val="28"/>
          <w:szCs w:val="28"/>
          <w:highlight w:val="none"/>
          <w:lang w:val="en-US" w:eastAsia="zh-CN"/>
        </w:rPr>
      </w:r>
      <w:r/>
    </w:p>
    <w:p>
      <w:pPr>
        <w:pStyle w:val="1127"/>
        <w:numPr>
          <w:ilvl w:val="0"/>
          <w:numId w:val="11"/>
        </w:numPr>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30"/>
      <w:r/>
      <w:bookmarkStart w:id="531" w:name="_Toc226309785"/>
      <w:r/>
      <w:bookmarkStart w:id="532" w:name="_Toc150774641"/>
      <w:r/>
      <w:bookmarkStart w:id="533" w:name="_Toc150480779"/>
      <w:r/>
      <w:bookmarkStart w:id="534" w:name="_Toc151193855"/>
      <w:r/>
      <w:bookmarkStart w:id="535" w:name="_Toc265228379"/>
      <w:r/>
      <w:bookmarkStart w:id="536" w:name="_Toc150774746"/>
      <w:r/>
      <w:bookmarkStart w:id="537" w:name="_Toc142311043"/>
      <w:r/>
      <w:bookmarkStart w:id="538" w:name="_Toc226965731"/>
      <w:r/>
      <w:bookmarkStart w:id="539" w:name="_Toc127151742"/>
      <w:r/>
      <w:bookmarkStart w:id="540" w:name="_Toc164229236"/>
      <w:r/>
      <w:bookmarkStart w:id="541" w:name="_Toc149720834"/>
      <w:r/>
      <w:bookmarkStart w:id="542" w:name="_Toc164229382"/>
      <w:r/>
      <w:bookmarkStart w:id="543" w:name="_Toc151193929"/>
      <w:r/>
      <w:bookmarkStart w:id="544" w:name="_Toc150509292"/>
      <w:r/>
      <w:bookmarkStart w:id="545" w:name="_Toc164608655"/>
      <w:r/>
      <w:bookmarkStart w:id="546" w:name="_Toc164608810"/>
      <w:r/>
      <w:bookmarkStart w:id="547" w:name="_Toc151190168"/>
      <w:r/>
      <w:bookmarkStart w:id="548" w:name="_Toc305158883"/>
      <w:r/>
      <w:bookmarkStart w:id="549" w:name="_Toc127161455"/>
      <w:r/>
      <w:bookmarkStart w:id="550" w:name="_Toc127151541"/>
      <w:r/>
      <w:bookmarkStart w:id="551" w:name="_Toc226965814"/>
      <w:r/>
      <w:bookmarkStart w:id="552" w:name="_Toc305158809"/>
      <w:r/>
      <w:bookmarkStart w:id="553" w:name="_Toc151193639"/>
      <w:r/>
      <w:bookmarkStart w:id="554" w:name="_Toc151193711"/>
      <w:r/>
      <w:bookmarkStart w:id="555" w:name="_Toc195842906"/>
      <w:r/>
      <w:bookmarkStart w:id="556" w:name="_Toc264969231"/>
      <w:r/>
      <w:bookmarkStart w:id="557" w:name="_Toc226337237"/>
      <w:r/>
      <w:bookmarkStart w:id="558" w:name="_Toc164351635"/>
      <w:r/>
      <w:bookmarkStart w:id="559" w:name="_Toc151193783"/>
      <w:r/>
      <w:bookmarkStart w:id="560" w:name="_Toc127151555"/>
      <w:r/>
      <w:bookmarkStart w:id="561" w:name="_Toc353873941"/>
      <w:r/>
      <w:bookmarkStart w:id="562" w:name="_Toc353825551"/>
      <w:r/>
      <w:bookmarkStart w:id="563" w:name="_Toc150480793"/>
      <w:r/>
      <w:bookmarkStart w:id="564" w:name="_Toc264969245"/>
      <w:r/>
      <w:bookmarkStart w:id="565" w:name="_Toc353873935"/>
      <w:r/>
      <w:bookmarkStart w:id="566" w:name="_Toc305158897"/>
      <w:r/>
      <w:bookmarkStart w:id="567" w:name="_Toc226337251"/>
      <w:r/>
      <w:bookmarkStart w:id="568" w:name="_Toc150774760"/>
      <w:r/>
      <w:bookmarkStart w:id="569" w:name="_Toc226965828"/>
      <w:r/>
      <w:bookmarkStart w:id="570" w:name="_Toc305158823"/>
      <w:r/>
      <w:bookmarkStart w:id="571" w:name="_Toc195842920"/>
      <w:r/>
      <w:bookmarkStart w:id="572" w:name="_Toc353825545"/>
      <w:r/>
      <w:bookmarkStart w:id="573" w:name="_Toc353873665"/>
      <w:r/>
      <w:bookmarkStart w:id="574" w:name="_Toc142311057"/>
      <w:r/>
      <w:bookmarkStart w:id="575" w:name="_Toc265228393"/>
      <w:r>
        <w:rPr>
          <w:rFonts w:hint="eastAsia" w:ascii="宋体" w:hAnsi="宋体" w:eastAsia="宋体" w:cs="宋体"/>
          <w:color w:val="000000"/>
          <w:sz w:val="24"/>
          <w:highlight w:val="none"/>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eastAsia="宋体" w:cs="宋体"/>
          <w:color w:val="000000"/>
          <w:sz w:val="24"/>
          <w:highlight w:val="none"/>
        </w:rPr>
        <w:t xml:space="preserve">资格性检查和符合性审查</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highlight w:val="none"/>
        </w:rPr>
        <w:t xml:space="preserve">无效响应</w:t>
      </w:r>
      <w:r>
        <w:rPr>
          <w:rFonts w:hint="eastAsia" w:ascii="宋体" w:hAnsi="宋体" w:eastAsia="宋体" w:cs="宋体"/>
          <w:color w:val="000000"/>
          <w:sz w:val="24"/>
          <w:highlight w:val="none"/>
        </w:rPr>
        <w:t xml:space="preserve">处理，磋商小组应当告知提交响应文件的供应商。</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《资格性检查要求》中对格式有要求的，除竞争性磋商文件另有规定外，均为“实质性格式”文件。</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《资格性检查要求》见下表：</w:t>
      </w:r>
      <w:r>
        <w:rPr>
          <w:rFonts w:hint="eastAsia" w:ascii="宋体" w:hAnsi="宋体" w:eastAsia="宋体" w:cs="宋体"/>
          <w:color w:val="000000"/>
          <w:sz w:val="24"/>
          <w:highlight w:val="none"/>
        </w:rPr>
      </w:r>
      <w:r/>
    </w:p>
    <w:p>
      <w:pPr>
        <w:pStyle w:val="1127"/>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资格性检查要求</w:t>
      </w:r>
      <w:r>
        <w:rPr>
          <w:b/>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pStyle w:val="1127"/>
              <w:jc w:val="center"/>
              <w:tabs>
                <w:tab w:val="left" w:pos="1080" w:leader="none"/>
              </w:tabs>
              <w:rPr>
                <w:rFonts w:ascii="宋体" w:hAnsi="宋体" w:cs="宋体"/>
                <w:b/>
                <w:color w:val="000000"/>
                <w:sz w:val="24"/>
                <w:highlight w:val="none"/>
              </w:rPr>
            </w:pPr>
            <w:r/>
            <w:bookmarkStart w:id="576" w:name="_Hlt487972895"/>
            <w:r/>
            <w:bookmarkEnd w:id="576"/>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728" w:type="dxa"/>
            <w:vAlign w:val="center"/>
            <w:textDirection w:val="lrTb"/>
            <w:noWrap w:val="false"/>
          </w:tcPr>
          <w:p>
            <w:pPr>
              <w:pStyle w:val="1127"/>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rPr>
                <w:rFonts w:ascii="宋体" w:hAnsi="宋体" w:cs="宋体"/>
                <w:b/>
                <w:color w:val="000000"/>
                <w:sz w:val="24"/>
                <w:highlight w:val="none"/>
              </w:rPr>
            </w:r>
            <w:r/>
          </w:p>
        </w:tc>
        <w:tc>
          <w:tcPr>
            <w:tcW w:w="4494" w:type="dxa"/>
            <w:vAlign w:val="center"/>
            <w:textDirection w:val="lrTb"/>
            <w:noWrap w:val="false"/>
          </w:tcPr>
          <w:p>
            <w:pPr>
              <w:pStyle w:val="1127"/>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rPr>
                <w:rFonts w:ascii="宋体" w:hAnsi="宋体" w:cs="宋体"/>
                <w:b/>
                <w:color w:val="000000"/>
                <w:sz w:val="24"/>
                <w:highlight w:val="none"/>
              </w:rPr>
            </w:r>
            <w:r/>
          </w:p>
        </w:tc>
        <w:tc>
          <w:tcPr>
            <w:tcW w:w="1660" w:type="dxa"/>
            <w:vAlign w:val="center"/>
            <w:textDirection w:val="lrTb"/>
            <w:noWrap w:val="false"/>
          </w:tcPr>
          <w:p>
            <w:pPr>
              <w:pStyle w:val="1127"/>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rPr>
                <w:rFonts w:ascii="宋体" w:hAnsi="宋体" w:cs="宋体"/>
                <w:b/>
                <w:color w:val="000000"/>
                <w:sz w:val="24"/>
                <w:highlight w:val="none"/>
              </w:rPr>
            </w:r>
            <w:r/>
          </w:p>
        </w:tc>
      </w:tr>
      <w:tr>
        <w:trPr>
          <w:trHeight w:val="20"/>
        </w:trPr>
        <w:tc>
          <w:tcPr>
            <w:tcW w:w="640" w:type="dxa"/>
            <w:vAlign w:val="center"/>
            <w:textDirection w:val="lrTb"/>
            <w:noWrap w:val="false"/>
          </w:tcPr>
          <w:p>
            <w:pPr>
              <w:pStyle w:val="1127"/>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728"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ascii="宋体" w:hAnsi="宋体" w:cs="宋体"/>
                <w:color w:val="000000"/>
                <w:sz w:val="24"/>
                <w:highlight w:val="none"/>
              </w:rPr>
            </w:r>
            <w:r/>
          </w:p>
        </w:tc>
        <w:tc>
          <w:tcPr>
            <w:tcW w:w="4494"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具体规定见第一章《采购邀请》</w:t>
            </w:r>
            <w:r>
              <w:rPr>
                <w:rFonts w:ascii="宋体" w:hAnsi="宋体" w:cs="宋体"/>
                <w:color w:val="000000"/>
                <w:sz w:val="24"/>
                <w:highlight w:val="none"/>
              </w:rPr>
            </w:r>
            <w:r/>
          </w:p>
        </w:tc>
        <w:tc>
          <w:tcPr>
            <w:tcW w:w="1660" w:type="dxa"/>
            <w:vAlign w:val="center"/>
            <w:textDirection w:val="lrTb"/>
            <w:noWrap w:val="false"/>
          </w:tcPr>
          <w:p>
            <w:pPr>
              <w:pStyle w:val="1127"/>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trHeight w:val="468"/>
        </w:trPr>
        <w:tc>
          <w:tcPr>
            <w:tcW w:w="640" w:type="dxa"/>
            <w:vAlign w:val="center"/>
            <w:textDirection w:val="lrTb"/>
            <w:noWrap w:val="false"/>
          </w:tcPr>
          <w:p>
            <w:pPr>
              <w:pStyle w:val="1127"/>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728"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ascii="宋体" w:hAnsi="宋体" w:cs="宋体"/>
                <w:color w:val="000000"/>
                <w:sz w:val="24"/>
                <w:highlight w:val="none"/>
              </w:rPr>
            </w:r>
            <w:r/>
          </w:p>
        </w:tc>
        <w:tc>
          <w:tcPr>
            <w:tcW w:w="4494"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ascii="宋体" w:hAnsi="宋体" w:cs="宋体"/>
                <w:color w:val="000000"/>
                <w:sz w:val="24"/>
                <w:highlight w:val="none"/>
              </w:rPr>
            </w:r>
            <w:r/>
          </w:p>
        </w:tc>
        <w:tc>
          <w:tcPr>
            <w:tcW w:w="1660"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ascii="宋体" w:hAnsi="宋体" w:cs="宋体"/>
                <w:color w:val="000000"/>
                <w:sz w:val="24"/>
                <w:highlight w:val="none"/>
              </w:rPr>
            </w:r>
            <w:r/>
          </w:p>
        </w:tc>
      </w:tr>
      <w:tr>
        <w:trPr>
          <w:trHeight w:val="20"/>
        </w:trPr>
        <w:tc>
          <w:tcPr>
            <w:tcW w:w="640" w:type="dxa"/>
            <w:vAlign w:val="center"/>
            <w:textDirection w:val="lrTb"/>
            <w:noWrap w:val="false"/>
          </w:tcPr>
          <w:p>
            <w:pPr>
              <w:pStyle w:val="1127"/>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728"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供应商信用记录</w:t>
            </w:r>
            <w:r>
              <w:rPr>
                <w:rFonts w:ascii="宋体" w:hAnsi="宋体" w:cs="宋体"/>
                <w:color w:val="000000"/>
                <w:sz w:val="24"/>
                <w:highlight w:val="none"/>
              </w:rPr>
            </w:r>
            <w:r/>
          </w:p>
        </w:tc>
        <w:tc>
          <w:tcPr>
            <w:tcW w:w="4494" w:type="dxa"/>
            <w:vAlign w:val="center"/>
            <w:textDirection w:val="lrTb"/>
            <w:noWrap w:val="false"/>
          </w:tcPr>
          <w:p>
            <w:pPr>
              <w:pStyle w:val="1127"/>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ascii="宋体" w:hAnsi="宋体" w:cs="宋体"/>
                <w:color w:val="000000"/>
                <w:sz w:val="24"/>
                <w:highlight w:val="none"/>
              </w:rPr>
            </w:r>
            <w:r/>
          </w:p>
          <w:p>
            <w:pPr>
              <w:pStyle w:val="1127"/>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ascii="宋体" w:hAnsi="宋体" w:cs="宋体"/>
                <w:color w:val="000000"/>
                <w:sz w:val="24"/>
                <w:highlight w:val="none"/>
              </w:rPr>
            </w:r>
            <w:r/>
          </w:p>
          <w:p>
            <w:pPr>
              <w:pStyle w:val="1127"/>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ascii="宋体" w:hAnsi="宋体" w:cs="宋体"/>
                <w:color w:val="000000"/>
                <w:sz w:val="24"/>
                <w:highlight w:val="none"/>
              </w:rPr>
            </w:r>
            <w:r/>
          </w:p>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660"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无须供应商提供，由采购人查询。</w:t>
            </w:r>
            <w:r>
              <w:rPr>
                <w:rFonts w:ascii="宋体" w:hAnsi="宋体" w:cs="宋体"/>
                <w:color w:val="000000"/>
                <w:sz w:val="24"/>
                <w:highlight w:val="none"/>
              </w:rPr>
            </w:r>
            <w:r/>
          </w:p>
        </w:tc>
      </w:tr>
      <w:tr>
        <w:trPr>
          <w:trHeight w:val="20"/>
        </w:trPr>
        <w:tc>
          <w:tcPr>
            <w:tcW w:w="640" w:type="dxa"/>
            <w:vAlign w:val="center"/>
            <w:textDirection w:val="lrTb"/>
            <w:noWrap w:val="false"/>
          </w:tcPr>
          <w:p>
            <w:pPr>
              <w:pStyle w:val="1127"/>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728"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ascii="宋体" w:hAnsi="宋体" w:cs="宋体"/>
                <w:color w:val="000000"/>
                <w:sz w:val="24"/>
                <w:highlight w:val="none"/>
              </w:rPr>
            </w:r>
            <w:r/>
          </w:p>
        </w:tc>
        <w:tc>
          <w:tcPr>
            <w:tcW w:w="4494"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具体要求见第一章《采购邀请》</w:t>
            </w:r>
            <w:r>
              <w:rPr>
                <w:rFonts w:ascii="宋体" w:hAnsi="宋体" w:cs="宋体"/>
                <w:color w:val="000000"/>
                <w:sz w:val="24"/>
                <w:highlight w:val="none"/>
              </w:rPr>
            </w:r>
            <w:r/>
          </w:p>
        </w:tc>
        <w:tc>
          <w:tcPr>
            <w:tcW w:w="1660" w:type="dxa"/>
            <w:vAlign w:val="center"/>
            <w:textDirection w:val="lrTb"/>
            <w:noWrap w:val="false"/>
          </w:tcPr>
          <w:p>
            <w:pPr>
              <w:pStyle w:val="1127"/>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trHeight w:val="20"/>
        </w:trPr>
        <w:tc>
          <w:tcPr>
            <w:tcW w:w="640" w:type="dxa"/>
            <w:vAlign w:val="center"/>
            <w:textDirection w:val="lrTb"/>
            <w:noWrap w:val="false"/>
          </w:tcPr>
          <w:p>
            <w:pPr>
              <w:pStyle w:val="1127"/>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W w:w="1728"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w:t>
            </w:r>
            <w:r>
              <w:rPr>
                <w:rFonts w:ascii="宋体" w:hAnsi="宋体" w:cs="宋体"/>
                <w:color w:val="000000"/>
                <w:sz w:val="24"/>
                <w:highlight w:val="none"/>
              </w:rPr>
            </w:r>
            <w:r/>
          </w:p>
        </w:tc>
        <w:tc>
          <w:tcPr>
            <w:tcW w:w="4494" w:type="dxa"/>
            <w:vAlign w:val="center"/>
            <w:textDirection w:val="lrTb"/>
            <w:noWrap w:val="false"/>
          </w:tcPr>
          <w:p>
            <w:pPr>
              <w:pStyle w:val="1127"/>
              <w:tabs>
                <w:tab w:val="left" w:pos="1080" w:leader="none"/>
              </w:tabs>
              <w:rPr>
                <w:color w:val="000000"/>
                <w:highlight w:val="none"/>
              </w:rPr>
            </w:pPr>
            <w:r>
              <w:rPr>
                <w:rFonts w:hint="eastAsia" w:ascii="宋体" w:hAnsi="宋体" w:cs="宋体"/>
                <w:bCs/>
                <w:color w:val="000000"/>
                <w:sz w:val="24"/>
                <w:highlight w:val="none"/>
              </w:rPr>
              <w:t xml:space="preserve">供应商单独参与磋商的，应提供中小企业声明函；如为监狱企业或残疾人福利性单位，不必提供中小企业声明函，但须按注1或注2要求提供证明材料。</w:t>
            </w:r>
            <w:r>
              <w:rPr>
                <w:color w:val="000000"/>
                <w:highlight w:val="none"/>
              </w:rPr>
            </w:r>
            <w:r/>
          </w:p>
          <w:p>
            <w:pPr>
              <w:pStyle w:val="1127"/>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cs="宋体"/>
                <w:bCs/>
                <w:color w:val="000000"/>
                <w:sz w:val="24"/>
                <w:highlight w:val="none"/>
              </w:rPr>
            </w:r>
            <w:r/>
          </w:p>
          <w:p>
            <w:pPr>
              <w:pStyle w:val="1127"/>
              <w:tabs>
                <w:tab w:val="left" w:pos="1080" w:leader="none"/>
              </w:tabs>
              <w:rPr>
                <w:rFonts w:ascii="宋体" w:hAnsi="宋体" w:cs="宋体"/>
                <w:b/>
                <w:color w:val="000000"/>
                <w:sz w:val="24"/>
                <w:highlight w:val="none"/>
              </w:rPr>
            </w:pPr>
            <w:r>
              <w:rPr>
                <w:rFonts w:hint="eastAsia" w:ascii="宋体" w:hAnsi="宋体" w:cs="宋体"/>
                <w:bCs/>
                <w:color w:val="000000"/>
                <w:sz w:val="24"/>
                <w:highlight w:val="none"/>
              </w:rPr>
              <w:t xml:space="preserve">注2：残疾人福利性单位须按磋商文件要求提供《残疾人福利性单位声明函》。</w:t>
            </w:r>
            <w:r>
              <w:rPr>
                <w:rFonts w:ascii="宋体" w:hAnsi="宋体" w:cs="宋体"/>
                <w:b/>
                <w:color w:val="000000"/>
                <w:sz w:val="24"/>
                <w:highlight w:val="none"/>
              </w:rPr>
            </w:r>
            <w:r/>
          </w:p>
        </w:tc>
        <w:tc>
          <w:tcPr>
            <w:tcW w:w="1660" w:type="dxa"/>
            <w:vAlign w:val="center"/>
            <w:textDirection w:val="lrTb"/>
            <w:noWrap w:val="false"/>
          </w:tcPr>
          <w:p>
            <w:pPr>
              <w:pStyle w:val="1127"/>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ascii="宋体" w:hAnsi="宋体" w:cs="宋体"/>
                <w:color w:val="000000"/>
                <w:sz w:val="24"/>
                <w:highlight w:val="none"/>
              </w:rPr>
            </w:r>
            <w:r/>
          </w:p>
        </w:tc>
      </w:tr>
      <w:tr>
        <w:trPr>
          <w:trHeight w:val="20"/>
        </w:trPr>
        <w:tc>
          <w:tcPr>
            <w:tcW w:w="640" w:type="dxa"/>
            <w:vAlign w:val="center"/>
            <w:textDirection w:val="lrTb"/>
            <w:noWrap w:val="false"/>
          </w:tcPr>
          <w:p>
            <w:pPr>
              <w:pStyle w:val="1127"/>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w:t>
            </w:r>
            <w:r>
              <w:rPr>
                <w:rFonts w:hint="eastAsia" w:ascii="宋体" w:hAnsi="宋体" w:cs="宋体"/>
                <w:color w:val="000000"/>
                <w:sz w:val="24"/>
                <w:highlight w:val="none"/>
              </w:rPr>
            </w:r>
            <w:r/>
          </w:p>
        </w:tc>
        <w:tc>
          <w:tcPr>
            <w:tcW w:w="1728" w:type="dxa"/>
            <w:vAlign w:val="center"/>
            <w:textDirection w:val="lrTb"/>
            <w:noWrap w:val="false"/>
          </w:tcPr>
          <w:p>
            <w:pPr>
              <w:pStyle w:val="1127"/>
              <w:tabs>
                <w:tab w:val="left" w:pos="1080" w:leader="none"/>
              </w:tabs>
              <w:rPr>
                <w:rFonts w:hint="eastAsia" w:ascii="宋体" w:hAnsi="宋体" w:cs="宋体"/>
                <w:color w:val="000000"/>
                <w:sz w:val="24"/>
                <w:highlight w:val="none"/>
              </w:rPr>
            </w:pPr>
            <w:r>
              <w:rPr>
                <w:color w:val="000000"/>
                <w:sz w:val="24"/>
                <w:highlight w:val="none"/>
              </w:rPr>
              <w:t xml:space="preserve">本项目的特定资格要求</w:t>
            </w:r>
            <w:r>
              <w:rPr>
                <w:rFonts w:hint="eastAsia" w:ascii="宋体" w:hAnsi="宋体" w:cs="宋体"/>
                <w:color w:val="000000"/>
                <w:sz w:val="24"/>
                <w:highlight w:val="none"/>
              </w:rPr>
            </w:r>
            <w:r/>
          </w:p>
        </w:tc>
        <w:tc>
          <w:tcPr>
            <w:tcW w:w="4494" w:type="dxa"/>
            <w:vAlign w:val="center"/>
            <w:textDirection w:val="lrTb"/>
            <w:noWrap w:val="false"/>
          </w:tcPr>
          <w:p>
            <w:pPr>
              <w:pStyle w:val="1127"/>
              <w:jc w:val="center"/>
              <w:tabs>
                <w:tab w:val="left" w:pos="1080" w:leader="none"/>
              </w:tabs>
              <w:rPr>
                <w:rFonts w:hint="eastAsia" w:ascii="宋体" w:hAnsi="宋体" w:cs="宋体"/>
                <w:bCs/>
                <w:color w:val="000000"/>
                <w:sz w:val="24"/>
                <w:highlight w:val="none"/>
              </w:rPr>
            </w:pPr>
            <w:r>
              <w:rPr>
                <w:rFonts w:hint="eastAsia" w:ascii="宋体" w:hAnsi="宋体" w:cs="宋体"/>
                <w:sz w:val="24"/>
              </w:rPr>
              <w:t xml:space="preserve">见第一章《采购邀请》</w:t>
            </w:r>
            <w:r>
              <w:rPr>
                <w:rFonts w:hint="eastAsia" w:ascii="宋体" w:hAnsi="宋体" w:cs="宋体"/>
                <w:bCs/>
                <w:color w:val="000000"/>
                <w:sz w:val="24"/>
                <w:highlight w:val="none"/>
              </w:rPr>
            </w:r>
            <w:r/>
          </w:p>
        </w:tc>
        <w:tc>
          <w:tcPr>
            <w:tcW w:w="1660" w:type="dxa"/>
            <w:vAlign w:val="center"/>
            <w:textDirection w:val="lrTb"/>
            <w:noWrap w:val="false"/>
          </w:tcPr>
          <w:p>
            <w:pPr>
              <w:pStyle w:val="112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0"/>
        </w:trPr>
        <w:tc>
          <w:tcPr>
            <w:tcW w:w="640" w:type="dxa"/>
            <w:vAlign w:val="center"/>
            <w:textDirection w:val="lrTb"/>
            <w:noWrap w:val="false"/>
          </w:tcPr>
          <w:p>
            <w:pPr>
              <w:pStyle w:val="1127"/>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3-1</w:t>
            </w:r>
            <w:r>
              <w:rPr>
                <w:rFonts w:hint="eastAsia" w:ascii="宋体" w:hAnsi="宋体" w:cs="宋体"/>
                <w:color w:val="000000"/>
                <w:sz w:val="24"/>
                <w:highlight w:val="none"/>
              </w:rPr>
            </w:r>
            <w:r/>
          </w:p>
        </w:tc>
        <w:tc>
          <w:tcPr>
            <w:tcW w:w="1728" w:type="dxa"/>
            <w:vAlign w:val="center"/>
            <w:textDirection w:val="lrTb"/>
            <w:noWrap w:val="false"/>
          </w:tcPr>
          <w:p>
            <w:pPr>
              <w:pStyle w:val="1127"/>
              <w:tabs>
                <w:tab w:val="left" w:pos="1080" w:leader="none"/>
              </w:tabs>
              <w:rPr>
                <w:rFonts w:hint="eastAsia" w:ascii="宋体" w:hAnsi="宋体" w:cs="宋体"/>
                <w:color w:val="000000"/>
                <w:sz w:val="24"/>
                <w:highlight w:val="none"/>
              </w:rPr>
            </w:pPr>
            <w:r>
              <w:rPr>
                <w:color w:val="000000"/>
                <w:sz w:val="24"/>
                <w:highlight w:val="none"/>
              </w:rPr>
              <w:t xml:space="preserve">其他特定资格要求</w:t>
            </w:r>
            <w:r>
              <w:rPr>
                <w:rFonts w:hint="eastAsia" w:ascii="宋体" w:hAnsi="宋体" w:cs="宋体"/>
                <w:color w:val="000000"/>
                <w:sz w:val="24"/>
                <w:highlight w:val="none"/>
              </w:rPr>
            </w:r>
            <w:r/>
          </w:p>
        </w:tc>
        <w:tc>
          <w:tcPr>
            <w:tcW w:w="4494" w:type="dxa"/>
            <w:vAlign w:val="center"/>
            <w:textDirection w:val="lrTb"/>
            <w:noWrap w:val="false"/>
          </w:tcPr>
          <w:p>
            <w:pPr>
              <w:pStyle w:val="1127"/>
              <w:jc w:val="center"/>
              <w:tabs>
                <w:tab w:val="left" w:pos="1080" w:leader="none"/>
              </w:tabs>
              <w:rPr>
                <w:rFonts w:hint="eastAsia" w:ascii="宋体" w:hAnsi="宋体" w:cs="宋体"/>
                <w:bCs/>
                <w:color w:val="000000"/>
                <w:sz w:val="24"/>
                <w:highlight w:val="none"/>
              </w:rPr>
            </w:pPr>
            <w:r>
              <w:rPr>
                <w:rFonts w:hint="eastAsia" w:ascii="宋体" w:hAnsi="宋体" w:cs="宋体"/>
                <w:sz w:val="24"/>
              </w:rPr>
              <w:t xml:space="preserve">见第一章《采购邀请》</w:t>
            </w:r>
            <w:r>
              <w:rPr>
                <w:rFonts w:hint="eastAsia" w:ascii="宋体" w:hAnsi="宋体" w:cs="宋体"/>
                <w:bCs/>
                <w:color w:val="000000"/>
                <w:sz w:val="24"/>
                <w:highlight w:val="none"/>
              </w:rPr>
            </w:r>
            <w:r/>
          </w:p>
        </w:tc>
        <w:tc>
          <w:tcPr>
            <w:tcW w:w="1660" w:type="dxa"/>
            <w:vAlign w:val="center"/>
            <w:textDirection w:val="lrTb"/>
            <w:noWrap w:val="false"/>
          </w:tcPr>
          <w:p>
            <w:pPr>
              <w:pStyle w:val="1127"/>
              <w:tabs>
                <w:tab w:val="left" w:pos="1080" w:leader="none"/>
              </w:tabs>
              <w:rPr>
                <w:rFonts w:hint="eastAsia" w:ascii="宋体" w:hAnsi="宋体" w:cs="宋体"/>
                <w:color w:val="000000"/>
                <w:sz w:val="24"/>
                <w:highlight w:val="none"/>
              </w:rPr>
            </w:pPr>
            <w:r>
              <w:rPr>
                <w:rFonts w:hint="eastAsia"/>
                <w:sz w:val="24"/>
              </w:rPr>
              <w:t xml:space="preserve">提供证书的电子件或电子证照</w:t>
            </w:r>
            <w:r>
              <w:rPr>
                <w:rFonts w:hint="eastAsia" w:ascii="宋体" w:hAnsi="宋体" w:cs="宋体"/>
                <w:color w:val="000000"/>
                <w:sz w:val="24"/>
                <w:highlight w:val="none"/>
              </w:rPr>
            </w:r>
            <w:r/>
          </w:p>
        </w:tc>
      </w:tr>
    </w:tbl>
    <w:p>
      <w:pPr>
        <w:pStyle w:val="1127"/>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《符合性审查要求》见下表：</w:t>
      </w:r>
      <w:r>
        <w:rPr>
          <w:rFonts w:hint="eastAsia" w:ascii="宋体" w:hAnsi="宋体" w:eastAsia="宋体" w:cs="宋体"/>
          <w:color w:val="000000"/>
          <w:sz w:val="24"/>
          <w:highlight w:val="none"/>
        </w:rPr>
      </w:r>
      <w:r/>
    </w:p>
    <w:p>
      <w:pPr>
        <w:pStyle w:val="1127"/>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符合性审查要求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00"/>
        <w:gridCol w:w="6334"/>
      </w:tblGrid>
      <w:tr>
        <w:trPr>
          <w:trHeight w:val="300"/>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500" w:type="dxa"/>
            <w:vAlign w:val="center"/>
            <w:textDirection w:val="lrTb"/>
            <w:noWrap w:val="false"/>
          </w:tcPr>
          <w:p>
            <w:pPr>
              <w:pStyle w:val="1127"/>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6334" w:type="dxa"/>
            <w:vAlign w:val="center"/>
            <w:textDirection w:val="lrTb"/>
            <w:noWrap w:val="false"/>
          </w:tcPr>
          <w:p>
            <w:pPr>
              <w:pStyle w:val="1127"/>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按磋商文件要求提供响应函、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响应完整性</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未将一个</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中的内容拆开响应；</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响应报价未</w:t>
            </w:r>
            <w:r>
              <w:rPr>
                <w:rFonts w:hint="eastAsia" w:ascii="宋体" w:hAnsi="宋体" w:eastAsia="宋体" w:cs="宋体"/>
                <w:color w:val="000000"/>
                <w:sz w:val="24"/>
                <w:highlight w:val="none"/>
              </w:rPr>
              <w:t xml:space="preserve">超过磋商文件中规定的项目预算金额或者项目最高限价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响应文件未</w:t>
            </w:r>
            <w:r>
              <w:rPr>
                <w:rFonts w:hint="eastAsia" w:ascii="宋体" w:hAnsi="宋体" w:eastAsia="宋体" w:cs="宋体"/>
                <w:color w:val="000000"/>
                <w:sz w:val="24"/>
                <w:highlight w:val="none"/>
              </w:rPr>
              <w:t xml:space="preserve">出现可选择性或可调整的报价（磋商文件另有规定的除外）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响应文件中承诺的响应有效期满足磋商文件中载明的响应有效期的；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按照磋商文件要求签署、加盖公章的；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实质性</w:t>
            </w:r>
            <w:r>
              <w:rPr>
                <w:rFonts w:hint="eastAsia" w:ascii="宋体" w:hAnsi="宋体" w:eastAsia="宋体" w:cs="宋体"/>
                <w:color w:val="000000"/>
                <w:sz w:val="24"/>
                <w:highlight w:val="none"/>
              </w:rPr>
              <w:t xml:space="preserve">格式</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标记为“实质性格式”的文件均按磋商文件要求提供；</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1500" w:type="dxa"/>
            <w:vAlign w:val="center"/>
            <w:textDirection w:val="lrTb"/>
            <w:noWrap w:val="false"/>
          </w:tcPr>
          <w:p>
            <w:pPr>
              <w:pStyle w:val="1127"/>
              <w:jc w:val="center"/>
              <w:keepLines w:val="0"/>
              <w:keepNext w:val="0"/>
              <w:pageBreakBefore w:val="0"/>
              <w:widowControl/>
              <w:rPr>
                <w:rFonts w:hint="eastAsia" w:ascii="宋体" w:hAnsi="宋体" w:cs="宋体"/>
                <w:sz w:val="24"/>
              </w:rPr>
              <w:outlineLvl w:val="9"/>
            </w:pPr>
            <w:r>
              <w:rPr>
                <w:rFonts w:hint="eastAsia" w:ascii="宋体" w:hAnsi="宋体" w:eastAsia="宋体" w:cs="宋体"/>
                <w:color w:val="000000"/>
                <w:sz w:val="24"/>
                <w:highlight w:val="none"/>
              </w:rPr>
              <w:t xml:space="preserve">报价的修正</w:t>
            </w:r>
            <w:r>
              <w:rPr>
                <w:rFonts w:hint="eastAsia" w:ascii="宋体" w:hAnsi="宋体" w:cs="宋体"/>
                <w:sz w:val="24"/>
              </w:rPr>
            </w:r>
            <w:r/>
          </w:p>
        </w:tc>
        <w:tc>
          <w:tcPr>
            <w:tcW w:w="6334" w:type="dxa"/>
            <w:vAlign w:val="center"/>
            <w:textDirection w:val="lrTb"/>
            <w:noWrap w:val="false"/>
          </w:tcPr>
          <w:p>
            <w:pPr>
              <w:pStyle w:val="1127"/>
              <w:jc w:val="left"/>
              <w:keepLines w:val="0"/>
              <w:keepNext w:val="0"/>
              <w:pageBreakBefore w:val="0"/>
              <w:widowControl/>
              <w:rPr>
                <w:rFonts w:hint="eastAsia" w:ascii="宋体" w:hAnsi="宋体" w:cs="宋体"/>
                <w:sz w:val="24"/>
              </w:rPr>
              <w:outlineLvl w:val="9"/>
            </w:pPr>
            <w:r>
              <w:rPr>
                <w:rFonts w:hint="eastAsia" w:ascii="宋体" w:hAnsi="宋体" w:eastAsia="宋体" w:cs="宋体"/>
                <w:color w:val="000000"/>
                <w:sz w:val="24"/>
                <w:highlight w:val="none"/>
              </w:rPr>
              <w:t xml:space="preserve">响应文件报价出现前后不一致时，供应商对修正后的报价予以确认；</w:t>
            </w:r>
            <w:r>
              <w:rPr>
                <w:rFonts w:hint="eastAsia" w:ascii="宋体" w:hAnsi="宋体" w:cs="宋体"/>
                <w:sz w:val="24"/>
              </w:rPr>
            </w:r>
            <w:r/>
          </w:p>
        </w:tc>
      </w:tr>
      <w:tr>
        <w:trPr>
          <w:trHeight w:val="685"/>
        </w:trPr>
        <w:tc>
          <w:tcPr>
            <w:tcW w:w="688" w:type="dxa"/>
            <w:vAlign w:val="center"/>
            <w:textDirection w:val="lrTb"/>
            <w:noWrap w:val="false"/>
          </w:tcPr>
          <w:p>
            <w:pPr>
              <w:pStyle w:val="1127"/>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1500" w:type="dxa"/>
            <w:vAlign w:val="center"/>
            <w:textDirection w:val="lrTb"/>
            <w:noWrap w:val="false"/>
          </w:tcPr>
          <w:p>
            <w:pPr>
              <w:pStyle w:val="1127"/>
              <w:jc w:val="center"/>
              <w:spacing w:line="360" w:lineRule="exact"/>
              <w:widowControl/>
              <w:rPr>
                <w:rFonts w:hint="eastAsia" w:ascii="宋体" w:hAnsi="宋体" w:eastAsia="宋体" w:cs="宋体"/>
                <w:color w:val="000000"/>
                <w:sz w:val="24"/>
                <w:highlight w:val="none"/>
              </w:rPr>
            </w:pPr>
            <w:r>
              <w:rPr>
                <w:rFonts w:hint="eastAsia" w:ascii="宋体" w:hAnsi="宋体" w:cs="宋体"/>
                <w:sz w:val="24"/>
              </w:rPr>
              <w:t xml:space="preserve">报价合理性</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widowControl/>
              <w:rPr>
                <w:rFonts w:ascii="宋体" w:hAnsi="宋体" w:cs="宋体"/>
                <w:sz w:val="24"/>
              </w:rPr>
            </w:pPr>
            <w:r>
              <w:rPr>
                <w:rFonts w:hint="eastAsia" w:ascii="宋体" w:hAnsi="宋体" w:cs="宋体"/>
                <w:sz w:val="24"/>
              </w:rPr>
              <w:t xml:space="preserve">报价合理，或供应商的报价明显低于其他通过符合性审查供应商的报价，有可能影响服务质量或者不能诚信履约的，能够应磋商小组要求在规定时间内证明其报价合理性的；</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按照财库〔2026〕2号《关于推动解决政府采购异常低价问题的通知》要求：</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（一）政府采购评审中出现下列情形之一的，评审委员会应当启动异常低价响应审查程序：</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1.响应报价低于全部通过符合性审查供应商响应报价平均值50%的，即响应报价&lt;全部通过符合性审查供应商响应报价平均值×50%；</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2.响应报价低于通过符合性审查的次低报价供应商响应报价50%的，即响应报价&lt;通过符合性审查的次低报价供应商响应报价×50%；</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3.响应报价低于采购项目最高限价45%的，即响应报价&lt;采购项目最高限价×45%；</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ascii="宋体" w:hAnsi="宋体" w:cs="宋体"/>
                <w:sz w:val="24"/>
              </w:rPr>
            </w:r>
            <w:r/>
          </w:p>
          <w:p>
            <w:pPr>
              <w:pStyle w:val="1127"/>
              <w:jc w:val="left"/>
              <w:widowControl/>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rPr>
            </w:r>
            <w:r/>
          </w:p>
          <w:p>
            <w:pPr>
              <w:pStyle w:val="1127"/>
              <w:jc w:val="left"/>
              <w:widowControl/>
              <w:rPr>
                <w:rFonts w:hint="eastAsia"/>
                <w:color w:val="000000"/>
                <w:sz w:val="24"/>
                <w:highlight w:val="none"/>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1500" w:type="dxa"/>
            <w:vAlign w:val="center"/>
            <w:textDirection w:val="lrTb"/>
            <w:noWrap w:val="false"/>
          </w:tcPr>
          <w:p>
            <w:pPr>
              <w:pStyle w:val="1127"/>
              <w:jc w:val="left"/>
              <w:spacing w:line="360" w:lineRule="exact"/>
              <w:widowControl/>
              <w:rPr>
                <w:rFonts w:hint="eastAsia" w:ascii="宋体" w:hAnsi="宋体" w:eastAsia="宋体" w:cs="宋体"/>
                <w:color w:val="000000"/>
                <w:sz w:val="24"/>
                <w:highlight w:val="none"/>
              </w:rPr>
            </w:pPr>
            <w:r>
              <w:rPr>
                <w:rFonts w:hint="eastAsia" w:ascii="宋体" w:hAnsi="宋体" w:cs="宋体"/>
                <w:sz w:val="24"/>
              </w:rPr>
              <w:t xml:space="preserve">公平竞争</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spacing w:line="360" w:lineRule="exact"/>
              <w:widowControl/>
              <w:rPr>
                <w:rFonts w:hint="eastAsia" w:ascii="宋体" w:hAnsi="宋体" w:eastAsia="宋体" w:cs="宋体"/>
                <w:color w:val="000000"/>
                <w:sz w:val="24"/>
                <w:highlight w:val="none"/>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4"/>
                <w:highlight w:val="none"/>
              </w:rPr>
            </w:r>
            <w:r/>
          </w:p>
        </w:tc>
      </w:tr>
      <w:tr>
        <w:trPr>
          <w:trHeight w:val="90"/>
        </w:trPr>
        <w:tc>
          <w:tcPr>
            <w:tcW w:w="688" w:type="dxa"/>
            <w:vAlign w:val="center"/>
            <w:textDirection w:val="lrTb"/>
            <w:noWrap w:val="false"/>
          </w:tcPr>
          <w:p>
            <w:pPr>
              <w:pStyle w:val="1127"/>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500" w:type="dxa"/>
            <w:vAlign w:val="center"/>
            <w:textDirection w:val="lrTb"/>
            <w:noWrap w:val="false"/>
          </w:tcPr>
          <w:p>
            <w:pPr>
              <w:pStyle w:val="1127"/>
              <w:jc w:val="left"/>
              <w:spacing w:line="360" w:lineRule="exact"/>
              <w:widowControl/>
              <w:rPr>
                <w:rFonts w:hint="eastAsia" w:ascii="宋体" w:hAnsi="宋体" w:eastAsia="宋体" w:cs="宋体"/>
                <w:color w:val="000000"/>
                <w:sz w:val="24"/>
                <w:highlight w:val="none"/>
              </w:rPr>
            </w:pPr>
            <w:r>
              <w:rPr>
                <w:rFonts w:hint="eastAsia" w:ascii="宋体" w:hAnsi="宋体" w:cs="宋体"/>
                <w:sz w:val="24"/>
              </w:rPr>
              <w:t xml:space="preserve">串通响应</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spacing w:line="360" w:lineRule="exac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rPr>
                <w:rFonts w:ascii="宋体" w:hAnsi="宋体" w:cs="宋体"/>
                <w:sz w:val="24"/>
              </w:rPr>
            </w:r>
            <w:r/>
          </w:p>
          <w:p>
            <w:pPr>
              <w:pStyle w:val="1127"/>
              <w:jc w:val="left"/>
              <w:spacing w:line="360" w:lineRule="exac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rPr>
                <w:rFonts w:ascii="宋体" w:hAnsi="宋体" w:cs="宋体"/>
                <w:sz w:val="24"/>
              </w:rPr>
            </w:r>
            <w:r/>
          </w:p>
          <w:p>
            <w:pPr>
              <w:pStyle w:val="1127"/>
              <w:jc w:val="left"/>
              <w:spacing w:line="360" w:lineRule="exact"/>
              <w:widowControl/>
              <w:rPr>
                <w:rFonts w:ascii="宋体" w:hAnsi="宋体" w:cs="宋体"/>
                <w:sz w:val="24"/>
              </w:rPr>
            </w:pPr>
            <w:r>
              <w:rPr>
                <w:rFonts w:hint="eastAsia" w:ascii="宋体" w:hAnsi="宋体" w:cs="宋体"/>
                <w:sz w:val="24"/>
              </w:rPr>
              <w:t xml:space="preserve">（二）不同供应商委托同一单位或者个人办理响应事宜（包含使用同一MAC地址的计算机提交或者解密电子响应文件的情形）；</w:t>
            </w:r>
            <w:r>
              <w:rPr>
                <w:rFonts w:ascii="宋体" w:hAnsi="宋体" w:cs="宋体"/>
                <w:sz w:val="24"/>
              </w:rPr>
            </w:r>
            <w:r/>
          </w:p>
          <w:p>
            <w:pPr>
              <w:pStyle w:val="1127"/>
              <w:jc w:val="left"/>
              <w:spacing w:line="360" w:lineRule="exac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rPr>
                <w:rFonts w:ascii="宋体" w:hAnsi="宋体" w:cs="宋体"/>
                <w:sz w:val="24"/>
              </w:rPr>
            </w:r>
            <w:r/>
          </w:p>
          <w:p>
            <w:pPr>
              <w:pStyle w:val="1127"/>
              <w:jc w:val="left"/>
              <w:spacing w:line="360" w:lineRule="exact"/>
              <w:widowControl/>
              <w:rPr>
                <w:rFonts w:hint="eastAsia" w:ascii="宋体" w:hAnsi="宋体" w:eastAsia="宋体" w:cs="宋体"/>
                <w:color w:val="000000"/>
                <w:sz w:val="24"/>
                <w:highlight w:val="none"/>
              </w:rPr>
            </w:pPr>
            <w:r>
              <w:rPr>
                <w:rFonts w:hint="eastAsia" w:ascii="宋体" w:hAnsi="宋体" w:cs="宋体"/>
                <w:sz w:val="24"/>
              </w:rPr>
              <w:t xml:space="preserve">（四）不同供应商的响应文件异常一致或者响应报价呈规律性差异；</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500" w:type="dxa"/>
            <w:vAlign w:val="center"/>
            <w:textDirection w:val="lrTb"/>
            <w:noWrap w:val="false"/>
          </w:tcPr>
          <w:p>
            <w:pPr>
              <w:pStyle w:val="1127"/>
              <w:jc w:val="left"/>
              <w:spacing w:line="360" w:lineRule="exact"/>
              <w:widowControl/>
              <w:rPr>
                <w:rFonts w:hint="eastAsia" w:ascii="宋体" w:hAnsi="宋体" w:eastAsia="宋体" w:cs="宋体"/>
                <w:color w:val="000000"/>
                <w:sz w:val="24"/>
                <w:highlight w:val="none"/>
              </w:rPr>
            </w:pPr>
            <w:r>
              <w:rPr>
                <w:rFonts w:hint="eastAsia" w:ascii="宋体" w:hAnsi="宋体" w:cs="宋体"/>
                <w:sz w:val="24"/>
              </w:rPr>
              <w:t xml:space="preserve">附加条件</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spacing w:line="360" w:lineRule="exact"/>
              <w:widowControl/>
              <w:rPr>
                <w:rFonts w:hint="eastAsia" w:ascii="宋体" w:hAnsi="宋体" w:eastAsia="宋体" w:cs="宋体"/>
                <w:color w:val="000000"/>
                <w:sz w:val="24"/>
                <w:highlight w:val="none"/>
              </w:rPr>
            </w:pPr>
            <w:r>
              <w:rPr>
                <w:rFonts w:hint="eastAsia" w:ascii="宋体" w:hAnsi="宋体" w:cs="宋体"/>
                <w:sz w:val="24"/>
              </w:rPr>
              <w:t xml:space="preserve">响应文件未含有采购人不能接受的附加条件的；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127"/>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tcW w:w="1500"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6334" w:type="dxa"/>
            <w:vAlign w:val="center"/>
            <w:textDirection w:val="lrTb"/>
            <w:noWrap w:val="false"/>
          </w:tcPr>
          <w:p>
            <w:pPr>
              <w:pStyle w:val="1127"/>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供应商、响应文件不存在不符合法律、法规和磋商文件规定的其他无效情形。</w:t>
            </w:r>
            <w:r>
              <w:rPr>
                <w:rFonts w:hint="eastAsia" w:ascii="宋体" w:hAnsi="宋体" w:eastAsia="宋体" w:cs="宋体"/>
                <w:color w:val="000000"/>
                <w:sz w:val="24"/>
                <w:highlight w:val="none"/>
              </w:rPr>
            </w:r>
            <w:r/>
          </w:p>
        </w:tc>
      </w:tr>
    </w:tbl>
    <w:p>
      <w:pPr>
        <w:pStyle w:val="1127"/>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127"/>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w:t>
      </w:r>
      <w:r>
        <w:rPr>
          <w:rFonts w:hint="eastAsia"/>
          <w:b/>
          <w:color w:val="000000"/>
          <w:sz w:val="24"/>
          <w:highlight w:val="none"/>
          <w:lang w:eastAsia="zh-CN"/>
        </w:rPr>
        <w:t xml:space="preserve">“苏采云”政府采购一体化平台</w:t>
      </w:r>
      <w:r>
        <w:rPr>
          <w:rFonts w:hint="eastAsia"/>
          <w:b/>
          <w:color w:val="000000"/>
          <w:sz w:val="24"/>
          <w:highlight w:val="none"/>
        </w:rPr>
        <w:t xml:space="preserve">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lang w:eastAsia="zh-CN"/>
        </w:rPr>
        <w:t xml:space="preserve">。</w:t>
      </w:r>
      <w:r>
        <w:rPr>
          <w:b/>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127"/>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127"/>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最终报价的算术修正及政策调整</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最终报价出现前后不一致的，按照下列规定修正：</w:t>
      </w:r>
      <w:r>
        <w:rPr>
          <w:rFonts w:hint="eastAsia" w:ascii="宋体" w:hAnsi="宋体" w:eastAsia="宋体" w:cs="宋体"/>
          <w:color w:val="000000"/>
          <w:sz w:val="24"/>
          <w:highlight w:val="none"/>
        </w:rPr>
      </w:r>
      <w:r/>
    </w:p>
    <w:p>
      <w:pPr>
        <w:pStyle w:val="1127"/>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竞争性磋商文件对于报价修正是否另有规定：</w:t>
      </w:r>
      <w:r>
        <w:rPr>
          <w:rFonts w:hint="eastAsia" w:ascii="宋体" w:hAnsi="宋体" w:eastAsia="宋体" w:cs="宋体"/>
          <w:color w:val="000000"/>
          <w:sz w:val="24"/>
          <w:highlight w:val="none"/>
        </w:rPr>
      </w:r>
      <w:r/>
    </w:p>
    <w:p>
      <w:pPr>
        <w:pStyle w:val="1127"/>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r>
      <w:r/>
    </w:p>
    <w:p>
      <w:pPr>
        <w:pStyle w:val="1127"/>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无，按下述3.2.2-3.2.5项规定修正。</w:t>
      </w:r>
      <w:r>
        <w:rPr>
          <w:rFonts w:hint="eastAsia" w:ascii="宋体" w:hAnsi="宋体" w:eastAsia="宋体" w:cs="宋体"/>
          <w:color w:val="000000"/>
          <w:sz w:val="24"/>
          <w:highlight w:val="none"/>
        </w:rPr>
      </w:r>
      <w:r/>
    </w:p>
    <w:p>
      <w:pPr>
        <w:pStyle w:val="1127"/>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1127"/>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单价金额小数点或者百分比有明显错位的，以最终报价一览表的总价为准，并修改单价；</w:t>
      </w:r>
      <w:r>
        <w:rPr>
          <w:rFonts w:hint="eastAsia" w:ascii="宋体" w:hAnsi="宋体" w:eastAsia="宋体" w:cs="宋体"/>
          <w:color w:val="000000"/>
          <w:sz w:val="24"/>
          <w:highlight w:val="none"/>
        </w:rPr>
      </w:r>
      <w:r/>
    </w:p>
    <w:p>
      <w:pPr>
        <w:pStyle w:val="1127"/>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1127"/>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0"/>
          <w:numId w:val="0"/>
        </w:numPr>
        <w:ind w:left="1135"/>
        <w:spacing w:line="360" w:lineRule="auto"/>
        <w:tabs>
          <w:tab w:val="left" w:pos="1080" w:leader="none"/>
          <w:tab w:val="left" w:pos="1589" w:leader="none"/>
          <w:tab w:val="left" w:pos="2014" w:leader="none"/>
        </w:tabs>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3.3 </w:t>
      </w: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磋商环节及提交最终报价后如出现以下情况的，供应商的</w:t>
      </w:r>
      <w:r>
        <w:rPr>
          <w:rFonts w:hint="eastAsia" w:ascii="宋体" w:hAnsi="宋体" w:eastAsia="宋体" w:cs="宋体"/>
          <w:b/>
          <w:color w:val="000000"/>
          <w:sz w:val="24"/>
          <w:highlight w:val="none"/>
        </w:rPr>
        <w:t xml:space="preserve">响应文件无效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供应商对实质性变动不予确认的；</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未按照磋商小组规定的时间、逾期提交最终报价的；</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如供应商的最终报价超过竞争性磋商文件中规定的项目预算金额或者项目最高限价的；</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响应文件中出现可选择性或可调整的报价的（竞争性磋商文件另有规定的除外）；</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最终报价出现前后不一致，供应商对修正后的报价不予确认的；</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1127"/>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bookmarkEnd w:id="561"/>
      <w:r/>
      <w:bookmarkEnd w:id="562"/>
      <w:r>
        <w:rPr>
          <w:rFonts w:hint="eastAsia" w:ascii="宋体" w:hAnsi="宋体" w:eastAsia="宋体" w:cs="宋体"/>
          <w:color w:val="000000"/>
          <w:sz w:val="24"/>
          <w:highlight w:val="none"/>
        </w:rPr>
        <w:t xml:space="preserve">评审方法和评审标准</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竞争性磋商文件中没有规定的评审标准不得作为评审依据。</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577" w:name="_Toc150774751"/>
      <w:r/>
      <w:bookmarkStart w:id="578" w:name="_Toc127161460"/>
      <w:r/>
      <w:bookmarkStart w:id="579" w:name="_Toc149720839"/>
      <w:r/>
      <w:bookmarkStart w:id="580" w:name="_Toc226965819"/>
      <w:r/>
      <w:bookmarkStart w:id="581" w:name="_Toc164229387"/>
      <w:r/>
      <w:bookmarkStart w:id="582" w:name="_Toc142311048"/>
      <w:r/>
      <w:bookmarkStart w:id="583" w:name="_Toc151193716"/>
      <w:r/>
      <w:bookmarkStart w:id="584" w:name="_Toc226965736"/>
      <w:r/>
      <w:bookmarkStart w:id="585" w:name="_Toc264969236"/>
      <w:r/>
      <w:bookmarkStart w:id="586" w:name="_Toc151193934"/>
      <w:r/>
      <w:bookmarkStart w:id="587" w:name="_Toc127151546"/>
      <w:r/>
      <w:bookmarkStart w:id="588" w:name="_Toc305158814"/>
      <w:r/>
      <w:bookmarkStart w:id="589" w:name="_Toc164229241"/>
      <w:r/>
      <w:bookmarkStart w:id="590" w:name="_Ref467307010"/>
      <w:r/>
      <w:bookmarkStart w:id="591" w:name="_Toc164351640"/>
      <w:r/>
      <w:bookmarkStart w:id="592" w:name="_Toc127151747"/>
      <w:r/>
      <w:bookmarkStart w:id="593" w:name="_Toc151193860"/>
      <w:r/>
      <w:bookmarkStart w:id="594" w:name="_Toc164608815"/>
      <w:r/>
      <w:bookmarkStart w:id="595" w:name="_Toc150774646"/>
      <w:r/>
      <w:bookmarkStart w:id="596" w:name="_Toc195842911"/>
      <w:r/>
      <w:bookmarkStart w:id="597" w:name="_Toc150480784"/>
      <w:r/>
      <w:bookmarkStart w:id="598" w:name="_Toc305158888"/>
      <w:r/>
      <w:bookmarkStart w:id="599" w:name="_Toc164608660"/>
      <w:r/>
      <w:bookmarkStart w:id="600" w:name="_Toc151193644"/>
      <w:r/>
      <w:bookmarkStart w:id="601" w:name="_Toc226309790"/>
      <w:r/>
      <w:bookmarkStart w:id="602" w:name="_Toc151193788"/>
      <w:r/>
      <w:bookmarkStart w:id="603" w:name="_Toc226337242"/>
      <w:r/>
      <w:bookmarkStart w:id="604" w:name="_Toc520356170"/>
      <w:r/>
      <w:bookmarkStart w:id="605" w:name="_Toc150509297"/>
      <w:r/>
      <w:bookmarkStart w:id="606" w:name="_Toc265228384"/>
      <w:r/>
      <w:bookmarkStart w:id="607" w:name="_Toc151190173"/>
      <w:r>
        <w:rPr>
          <w:rFonts w:hint="eastAsia" w:ascii="宋体" w:hAnsi="宋体" w:eastAsia="宋体" w:cs="宋体"/>
          <w:color w:val="000000"/>
          <w:sz w:val="24"/>
          <w:highlight w:val="none"/>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0"/>
          <w:highlight w:val="none"/>
        </w:rPr>
        <w:t xml:space="preserve">磋商小组根据上述供应商排序，依次推荐排序前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4"/>
          <w:highlight w:val="none"/>
        </w:rPr>
      </w:r>
      <w:r/>
    </w:p>
    <w:p>
      <w:pPr>
        <w:pStyle w:val="1127"/>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1127"/>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1127"/>
        <w:jc w:val="center"/>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4"/>
          <w:highlight w:val="none"/>
        </w:rPr>
      </w:r>
      <w:r/>
    </w:p>
    <w:p>
      <w:pPr>
        <w:pStyle w:val="1127"/>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二、评审标准</w:t>
      </w:r>
      <w:r>
        <w:rPr>
          <w:rFonts w:hint="eastAsia" w:ascii="宋体" w:hAnsi="宋体" w:eastAsia="宋体" w:cs="Times New Roman"/>
          <w:b/>
          <w:bCs/>
          <w:color w:val="000000"/>
          <w:sz w:val="28"/>
          <w:szCs w:val="28"/>
          <w:highlight w:val="none"/>
          <w:lang w:val="en-US" w:eastAsia="zh-CN"/>
        </w:rPr>
      </w:r>
      <w:r/>
    </w:p>
    <w:tbl>
      <w:tblPr>
        <w:tblW w:w="5123" w:type="pct"/>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057"/>
        <w:gridCol w:w="739"/>
        <w:gridCol w:w="6236"/>
      </w:tblGrid>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605"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rPr>
                <w:rFonts w:hint="eastAsia" w:ascii="宋体" w:hAnsi="宋体" w:eastAsia="宋体" w:cs="宋体"/>
                <w:b/>
                <w:color w:val="000000"/>
                <w:sz w:val="24"/>
                <w:szCs w:val="24"/>
              </w:rPr>
            </w:r>
            <w:r/>
          </w:p>
        </w:tc>
        <w:tc>
          <w:tcPr>
            <w:tcW w:w="423"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W w:w="3570"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rPr>
                <w:rFonts w:hint="eastAsia" w:ascii="宋体" w:hAnsi="宋体" w:eastAsia="宋体" w:cs="宋体"/>
                <w:b/>
                <w:color w:val="000000"/>
                <w:sz w:val="24"/>
                <w:szCs w:val="24"/>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1</w:t>
            </w:r>
            <w:r>
              <w:rPr>
                <w:rFonts w:ascii="宋体" w:hAnsi="宋体" w:eastAsia="宋体" w:cs="宋体"/>
                <w:b/>
                <w:color w:val="000000"/>
                <w:sz w:val="24"/>
                <w:szCs w:val="24"/>
                <w:lang w:val="en-US" w:eastAsia="zh-CN"/>
              </w:rPr>
            </w:r>
            <w:r/>
          </w:p>
        </w:tc>
        <w:tc>
          <w:tcPr>
            <w:gridSpan w:val="3"/>
            <w:tcW w:w="8032" w:type="dxa"/>
            <w:vAlign w:val="center"/>
            <w:textDirection w:val="lrTb"/>
            <w:noWrap w:val="false"/>
          </w:tcPr>
          <w:p>
            <w:pPr>
              <w:pStyle w:val="1127"/>
              <w:ind w:left="0" w:firstLine="28"/>
              <w:jc w:val="both"/>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highlight w:val="none"/>
              </w:rPr>
              <w:t xml:space="preserve">报价（</w:t>
            </w: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lang w:val="en-US" w:eastAsia="zh-CN"/>
              </w:rPr>
            </w:r>
            <w:r/>
          </w:p>
        </w:tc>
      </w:tr>
      <w:tr>
        <w:trPr>
          <w:trHeight w:val="631"/>
        </w:trPr>
        <w:tc>
          <w:tcPr>
            <w:tcW w:w="401" w:type="dxa"/>
            <w:vAlign w:val="center"/>
            <w:textDirection w:val="lrTb"/>
            <w:noWrap w:val="false"/>
          </w:tcPr>
          <w:p>
            <w:pPr>
              <w:pStyle w:val="1127"/>
              <w:ind w:left="0" w:firstLine="28"/>
              <w:jc w:val="center"/>
              <w:keepLines w:val="0"/>
              <w:keepNext w:val="0"/>
              <w:pageBreakBefore w:val="0"/>
              <w:spacing w:line="44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ascii="宋体" w:hAnsi="宋体" w:eastAsia="宋体" w:cs="宋体"/>
                <w:color w:val="000000"/>
                <w:sz w:val="24"/>
                <w:szCs w:val="24"/>
                <w:lang w:val="en-US" w:eastAsia="zh-CN"/>
              </w:rPr>
            </w:r>
            <w:r/>
          </w:p>
        </w:tc>
        <w:tc>
          <w:tcPr>
            <w:tcW w:w="605"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w:t>
            </w:r>
            <w:r>
              <w:rPr>
                <w:rFonts w:hint="eastAsia" w:ascii="宋体" w:hAnsi="宋体" w:eastAsia="宋体" w:cs="宋体"/>
                <w:color w:val="000000"/>
                <w:sz w:val="24"/>
                <w:szCs w:val="24"/>
              </w:rPr>
            </w:r>
            <w:r/>
          </w:p>
        </w:tc>
        <w:tc>
          <w:tcPr>
            <w:tcW w:w="423"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3570" w:type="dxa"/>
            <w:vAlign w:val="center"/>
            <w:textDirection w:val="lrTb"/>
            <w:noWrap w:val="false"/>
          </w:tcPr>
          <w:p>
            <w:pPr>
              <w:pStyle w:val="1127"/>
              <w:keepLines w:val="0"/>
              <w:keepNext w:val="0"/>
              <w:pageBreakBefore w:val="0"/>
              <w:spacing w:line="440" w:lineRule="exact"/>
              <w:rPr>
                <w:rFonts w:ascii="宋体" w:hAnsi="宋体" w:cs="宋体"/>
                <w:sz w:val="24"/>
                <w:szCs w:val="24"/>
              </w:rPr>
            </w:pPr>
            <w:r>
              <w:rPr>
                <w:rFonts w:hint="eastAsia" w:ascii="宋体" w:hAnsi="宋体" w:cs="宋体"/>
                <w:sz w:val="24"/>
                <w:szCs w:val="24"/>
              </w:rPr>
              <w:t xml:space="preserve">满足磋商文件要求且最终报价最低的报价为评标基准价，其价格分为满分。其他供应商的价格分统一按照下列公式计算：价格分得分＝（评标基准价/最终报价）×分值。</w:t>
            </w:r>
            <w:r>
              <w:rPr>
                <w:rFonts w:ascii="宋体" w:hAnsi="宋体" w:cs="宋体"/>
                <w:sz w:val="24"/>
                <w:szCs w:val="24"/>
              </w:rPr>
            </w:r>
            <w:r/>
          </w:p>
          <w:p>
            <w:pPr>
              <w:pStyle w:val="1127"/>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b/>
                <w:bCs/>
                <w:sz w:val="24"/>
                <w:szCs w:val="24"/>
              </w:rPr>
              <w:t xml:space="preserve">注：此处最终报价指经过报价修正后的最终报价。</w:t>
            </w:r>
            <w:r>
              <w:rPr>
                <w:rFonts w:hint="eastAsia" w:ascii="宋体" w:hAnsi="宋体" w:eastAsia="宋体" w:cs="宋体"/>
                <w:color w:val="000000"/>
                <w:sz w:val="24"/>
                <w:szCs w:val="24"/>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gridSpan w:val="3"/>
            <w:tcW w:w="8032" w:type="dxa"/>
            <w:vAlign w:val="center"/>
            <w:textDirection w:val="lrTb"/>
            <w:noWrap w:val="false"/>
          </w:tcPr>
          <w:p>
            <w:pPr>
              <w:pStyle w:val="1127"/>
              <w:ind w:left="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主观分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65</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605" w:type="dxa"/>
            <w:vAlign w:val="center"/>
            <w:textDirection w:val="lrTb"/>
            <w:noWrap w:val="false"/>
          </w:tcPr>
          <w:p>
            <w:pPr>
              <w:pStyle w:val="1127"/>
              <w:ind w:left="0"/>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整体服务方案及管理方案</w:t>
            </w:r>
            <w:r>
              <w:rPr>
                <w:rFonts w:hint="eastAsia" w:ascii="宋体" w:hAnsi="宋体" w:eastAsia="宋体" w:cs="宋体"/>
                <w:color w:val="000000"/>
                <w:sz w:val="24"/>
                <w:szCs w:val="24"/>
                <w:lang w:val="en-US" w:eastAsia="zh-CN" w:bidi="ar-SA"/>
              </w:rPr>
            </w:r>
            <w:r/>
          </w:p>
        </w:tc>
        <w:tc>
          <w:tcPr>
            <w:tcW w:w="423" w:type="dxa"/>
            <w:vAlign w:val="center"/>
            <w:textDirection w:val="lrTb"/>
            <w:noWrap w:val="false"/>
          </w:tcPr>
          <w:p>
            <w:pPr>
              <w:pStyle w:val="1127"/>
              <w:jc w:val="center"/>
              <w:keepLines w:val="0"/>
              <w:keepNext w:val="0"/>
              <w:pageBreakBefore w:val="0"/>
              <w:spacing w:line="44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z w:val="24"/>
                <w:szCs w:val="24"/>
              </w:rPr>
              <w:t xml:space="preserve">对供应商针对本项目制定的整体服务及管理方案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包括服务人员、服务机制、响应时间、问题解决等内容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rPr>
                <w:rFonts w:hint="eastAsia" w:ascii="宋体" w:hAnsi="宋体" w:eastAsia="宋体" w:cs="宋体"/>
                <w:color w:val="000000"/>
                <w:spacing w:val="-6"/>
                <w:sz w:val="24"/>
                <w:szCs w:val="24"/>
                <w:highlight w:val="none"/>
                <w:lang w:val="en-US"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（1）方案详尽、精细，科学合理，操作性强的，得10分；</w:t>
            </w:r>
            <w:r>
              <w:rPr>
                <w:rFonts w:hint="eastAsia" w:ascii="宋体" w:hAnsi="宋体" w:eastAsia="宋体" w:cs="宋体"/>
                <w:color w:val="000000"/>
                <w:sz w:val="24"/>
                <w:szCs w:val="24"/>
                <w:lang w:val="en-US"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（2）方案较为全面，较详细合理、规范科学的，得8分；</w:t>
            </w:r>
            <w:r>
              <w:rPr>
                <w:rFonts w:hint="eastAsia" w:ascii="宋体" w:hAnsi="宋体" w:eastAsia="宋体" w:cs="宋体"/>
                <w:color w:val="000000"/>
                <w:sz w:val="24"/>
                <w:szCs w:val="24"/>
                <w:lang w:val="en-US"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（3）方案简单，操作性一般的，得6分。</w:t>
            </w:r>
            <w:r>
              <w:rPr>
                <w:rFonts w:hint="eastAsia" w:ascii="宋体" w:hAnsi="宋体" w:eastAsia="宋体" w:cs="宋体"/>
                <w:color w:val="000000"/>
                <w:sz w:val="24"/>
                <w:szCs w:val="24"/>
                <w:lang w:val="en-US"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方案缺失的，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lang w:val="en-US" w:eastAsia="zh-CN"/>
              </w:rPr>
            </w:r>
            <w:r/>
          </w:p>
        </w:tc>
        <w:tc>
          <w:tcPr>
            <w:tcW w:w="605" w:type="dxa"/>
            <w:vAlign w:val="center"/>
            <w:textDirection w:val="lrTb"/>
            <w:noWrap w:val="false"/>
          </w:tcPr>
          <w:p>
            <w:pPr>
              <w:pStyle w:val="1127"/>
              <w:ind w:left="0"/>
              <w:jc w:val="center"/>
              <w:keepLines w:val="0"/>
              <w:keepNext w:val="0"/>
              <w:pageBreakBefore w:val="0"/>
              <w:spacing w:line="44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组织构架与规章制度</w:t>
            </w:r>
            <w:r>
              <w:rPr>
                <w:rFonts w:hint="eastAsia" w:ascii="宋体" w:hAnsi="宋体" w:eastAsia="宋体" w:cs="宋体"/>
                <w:color w:val="000000"/>
                <w:sz w:val="24"/>
                <w:szCs w:val="24"/>
                <w:lang w:val="en-US" w:eastAsia="zh-CN" w:bidi="ar-SA"/>
              </w:rPr>
            </w:r>
            <w:r/>
          </w:p>
        </w:tc>
        <w:tc>
          <w:tcPr>
            <w:tcW w:w="423" w:type="dxa"/>
            <w:vAlign w:val="center"/>
            <w:textDirection w:val="lrTb"/>
            <w:noWrap w:val="false"/>
          </w:tcPr>
          <w:p>
            <w:pPr>
              <w:pStyle w:val="1127"/>
              <w:jc w:val="center"/>
              <w:keepLines w:val="0"/>
              <w:keepNext w:val="0"/>
              <w:pageBreakBefore w:val="0"/>
              <w:spacing w:line="44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z w:val="24"/>
                <w:szCs w:val="24"/>
              </w:rPr>
              <w:t xml:space="preserve">对供应商针对本项目拟成立的专门机构的组织框架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包括制定规章制度、岗位职责、岗位分工、工作流程、培训计划等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rPr>
                <w:rFonts w:hint="eastAsia" w:ascii="宋体" w:hAnsi="宋体" w:eastAsia="宋体" w:cs="宋体"/>
                <w:color w:val="000000"/>
                <w:spacing w:val="-6"/>
                <w:sz w:val="24"/>
                <w:szCs w:val="24"/>
                <w:highlight w:val="none"/>
                <w:lang w:val="en-US" w:eastAsia="zh-CN"/>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内容完整全面、方案科学合理、针对性强，符合</w:t>
            </w:r>
            <w:r>
              <w:rPr>
                <w:rFonts w:hint="eastAsia" w:ascii="宋体" w:hAnsi="宋体" w:eastAsia="宋体" w:cs="宋体"/>
                <w:color w:val="000000"/>
                <w:sz w:val="24"/>
                <w:szCs w:val="24"/>
                <w:lang w:eastAsia="zh-CN"/>
              </w:rPr>
              <w:t xml:space="preserve">项目要求的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内容较为完整、方案基本合理、针对性一般，与</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要求有所出入的，得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内容较为完整</w:t>
            </w:r>
            <w:r>
              <w:rPr>
                <w:rFonts w:hint="eastAsia" w:ascii="宋体" w:hAnsi="宋体" w:eastAsia="宋体" w:cs="宋体"/>
                <w:color w:val="000000"/>
                <w:sz w:val="24"/>
                <w:szCs w:val="24"/>
                <w:lang w:val="en-US" w:eastAsia="zh-CN"/>
              </w:rPr>
              <w:t xml:space="preserve">但</w:t>
            </w:r>
            <w:r>
              <w:rPr>
                <w:rFonts w:hint="eastAsia" w:ascii="宋体" w:hAnsi="宋体" w:eastAsia="宋体" w:cs="宋体"/>
                <w:color w:val="000000"/>
                <w:sz w:val="24"/>
                <w:szCs w:val="24"/>
              </w:rPr>
              <w:t xml:space="preserve">针对性较弱的，得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（4）内容</w:t>
            </w:r>
            <w:r>
              <w:rPr>
                <w:rFonts w:hint="eastAsia" w:ascii="宋体" w:hAnsi="宋体" w:eastAsia="宋体" w:cs="宋体"/>
                <w:color w:val="000000"/>
                <w:sz w:val="24"/>
                <w:szCs w:val="24"/>
              </w:rPr>
              <w:t xml:space="preserve">缺失</w:t>
            </w:r>
            <w:r>
              <w:rPr>
                <w:rFonts w:hint="eastAsia" w:ascii="宋体" w:hAnsi="宋体" w:eastAsia="宋体" w:cs="宋体"/>
                <w:color w:val="000000"/>
                <w:sz w:val="24"/>
                <w:szCs w:val="24"/>
                <w:lang w:val="en-US" w:eastAsia="zh-CN"/>
              </w:rPr>
              <w:t xml:space="preserve">或针对性弱</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both"/>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lang w:val="en-US" w:eastAsia="zh-CN"/>
              </w:rPr>
            </w:r>
            <w:r/>
          </w:p>
        </w:tc>
        <w:tc>
          <w:tcPr>
            <w:tcW w:w="605" w:type="dxa"/>
            <w:vAlign w:val="center"/>
            <w:textDirection w:val="lrTb"/>
            <w:noWrap w:val="false"/>
          </w:tcPr>
          <w:p>
            <w:pPr>
              <w:pStyle w:val="1127"/>
              <w:ind w:left="0"/>
              <w:jc w:val="center"/>
              <w:keepLines w:val="0"/>
              <w:keepNext w:val="0"/>
              <w:pageBreakBefore w:val="0"/>
              <w:spacing w:line="44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项目重点、难点措施</w:t>
            </w:r>
            <w:r>
              <w:rPr>
                <w:rFonts w:hint="eastAsia" w:ascii="宋体" w:hAnsi="宋体" w:eastAsia="宋体" w:cs="宋体"/>
                <w:color w:val="000000"/>
                <w:sz w:val="24"/>
                <w:szCs w:val="24"/>
                <w:lang w:val="en-US" w:eastAsia="zh-CN" w:bidi="ar-SA"/>
              </w:rPr>
            </w:r>
            <w:r/>
          </w:p>
        </w:tc>
        <w:tc>
          <w:tcPr>
            <w:tcW w:w="423" w:type="dxa"/>
            <w:vAlign w:val="center"/>
            <w:textDirection w:val="lrTb"/>
            <w:noWrap w:val="false"/>
          </w:tcPr>
          <w:p>
            <w:pPr>
              <w:pStyle w:val="1127"/>
              <w:jc w:val="center"/>
              <w:keepLines w:val="0"/>
              <w:keepNext w:val="0"/>
              <w:pageBreakBefore w:val="0"/>
              <w:spacing w:line="44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对供应商针对本项服务的管理项目重点难点和措施进行</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描述合理、完善，符合</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实际情况的，得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描述</w:t>
            </w:r>
            <w:r>
              <w:rPr>
                <w:rFonts w:hint="eastAsia" w:ascii="宋体" w:hAnsi="宋体" w:eastAsia="宋体" w:cs="宋体"/>
                <w:color w:val="000000"/>
                <w:sz w:val="24"/>
                <w:szCs w:val="24"/>
                <w:lang w:val="en-US" w:eastAsia="zh-CN"/>
              </w:rPr>
              <w:t xml:space="preserve">较为</w:t>
            </w:r>
            <w:r>
              <w:rPr>
                <w:rFonts w:hint="eastAsia" w:ascii="宋体" w:hAnsi="宋体" w:eastAsia="宋体" w:cs="宋体"/>
                <w:color w:val="000000"/>
                <w:sz w:val="24"/>
                <w:szCs w:val="24"/>
              </w:rPr>
              <w:t xml:space="preserve">合理、内容一般，与</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实际情况有所出入的，得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描述不太合理的，得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209"/>
              <w:ind w:left="0" w:firstLine="0"/>
              <w:jc w:val="left"/>
              <w:keepLines w:val="0"/>
              <w:keepNext w:val="0"/>
              <w:pageBreakBefore w:val="0"/>
              <w:spacing w:after="0"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描述</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eastAsia="zh-CN"/>
              </w:rPr>
              <w:t xml:space="preserve">缺失的，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209"/>
              <w:ind w:left="0" w:firstLine="0"/>
              <w:jc w:val="left"/>
              <w:keepLines w:val="0"/>
              <w:keepNext w:val="0"/>
              <w:pageBreakBefore w:val="0"/>
              <w:spacing w:after="0"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tc>
        <w:tc>
          <w:tcPr>
            <w:tcW w:w="605" w:type="dxa"/>
            <w:vAlign w:val="center"/>
            <w:vMerge w:val="restart"/>
            <w:textDirection w:val="lrTb"/>
            <w:noWrap w:val="false"/>
          </w:tcPr>
          <w:p>
            <w:pPr>
              <w:pStyle w:val="1297"/>
              <w:ind w:left="0"/>
              <w:jc w:val="center"/>
              <w:keepLines w:val="0"/>
              <w:keepNext w:val="0"/>
              <w:pageBreakBefore w:val="0"/>
              <w:spacing w:line="44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rPr>
              <w:t xml:space="preserve">设备、物资投入情况</w:t>
            </w:r>
            <w:r>
              <w:rPr>
                <w:rFonts w:hint="eastAsia" w:ascii="宋体" w:hAnsi="宋体" w:eastAsia="宋体" w:cs="宋体"/>
                <w:color w:val="000000"/>
                <w:sz w:val="24"/>
                <w:szCs w:val="24"/>
                <w:lang w:val="en-US" w:eastAsia="en-US" w:bidi="ar-SA"/>
              </w:rPr>
            </w:r>
            <w:r/>
          </w:p>
          <w:p>
            <w:pPr>
              <w:pStyle w:val="1297"/>
              <w:ind w:left="0"/>
              <w:jc w:val="center"/>
              <w:keepLines w:val="0"/>
              <w:keepNext w:val="0"/>
              <w:pageBreakBefore w:val="0"/>
              <w:spacing w:line="44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r>
            <w:r/>
          </w:p>
        </w:tc>
        <w:tc>
          <w:tcPr>
            <w:tcW w:w="423" w:type="dxa"/>
            <w:vAlign w:val="center"/>
            <w:textDirection w:val="lrTb"/>
            <w:noWrap w:val="false"/>
          </w:tcPr>
          <w:p>
            <w:pPr>
              <w:pStyle w:val="1127"/>
              <w:jc w:val="center"/>
              <w:keepLines w:val="0"/>
              <w:keepNext w:val="0"/>
              <w:pageBreakBefore w:val="0"/>
              <w:spacing w:line="44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3570" w:type="dxa"/>
            <w:vAlign w:val="top"/>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根据供应商针对本项目拟投入安保设备情况进行</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完全契合项目需求，针对性极强，配置齐全科学、实用性突出，得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高度匹配项目需求，针对性强，设备配置完整合理，得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与项目需求基本匹配，有一定针对性，配置较合理可用，得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与项目需求匹配度偏低，针对性不足，设备配置欠缺，得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lang w:val="en-US" w:eastAsia="zh-CN"/>
              </w:rPr>
            </w:r>
            <w:r/>
          </w:p>
        </w:tc>
        <w:tc>
          <w:tcPr>
            <w:tcW w:w="605" w:type="dxa"/>
            <w:vAlign w:val="center"/>
            <w:vMerge w:val="continue"/>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3" w:type="dxa"/>
            <w:vAlign w:val="center"/>
            <w:textDirection w:val="lrTb"/>
            <w:noWrap w:val="false"/>
          </w:tcPr>
          <w:p>
            <w:pPr>
              <w:pStyle w:val="1127"/>
              <w:jc w:val="center"/>
              <w:keepLines w:val="0"/>
              <w:keepNext w:val="0"/>
              <w:pageBreakBefore w:val="0"/>
              <w:spacing w:line="44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ascii="宋体" w:hAnsi="宋体" w:eastAsia="宋体" w:cs="宋体"/>
                <w:color w:val="000000"/>
                <w:sz w:val="24"/>
                <w:szCs w:val="24"/>
                <w:lang w:val="en-US" w:eastAsia="zh-CN" w:bidi="ar-SA"/>
              </w:rPr>
            </w:r>
            <w:r/>
          </w:p>
        </w:tc>
        <w:tc>
          <w:tcPr>
            <w:tcW w:w="3570" w:type="dxa"/>
            <w:vAlign w:val="top"/>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根据供应商针对本项目拟投入物资（包含但不仅限于防疫物质</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）情况进行</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完全匹配项目需求，针对性强、合理实用，得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设备大部分匹配项目需求，针对性较强、较合理实用，得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设备少量匹配项目需求，有基础针对性，基本可用，得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设备与项目需求基本不匹配、无针对性，得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r>
      <w:tr>
        <w:trPr>
          <w:trHeight w:val="1487"/>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w:t>
            </w:r>
            <w:r>
              <w:rPr>
                <w:rFonts w:hint="eastAsia" w:ascii="宋体" w:hAnsi="宋体" w:eastAsia="宋体" w:cs="宋体"/>
                <w:color w:val="000000"/>
                <w:sz w:val="24"/>
                <w:szCs w:val="24"/>
                <w:lang w:val="en-US" w:eastAsia="zh-CN"/>
              </w:rPr>
            </w:r>
            <w:r/>
          </w:p>
        </w:tc>
        <w:tc>
          <w:tcPr>
            <w:tcW w:w="605" w:type="dxa"/>
            <w:vAlign w:val="center"/>
            <w:textDirection w:val="lrTb"/>
            <w:noWrap w:val="false"/>
          </w:tcPr>
          <w:p>
            <w:pPr>
              <w:pStyle w:val="1127"/>
              <w:ind w:left="0"/>
              <w:jc w:val="center"/>
              <w:keepLines w:val="0"/>
              <w:keepNext w:val="0"/>
              <w:pageBreakBefore w:val="0"/>
              <w:spacing w:line="44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应急预案</w:t>
            </w:r>
            <w:r>
              <w:rPr>
                <w:rFonts w:hint="eastAsia" w:ascii="宋体" w:hAnsi="宋体" w:eastAsia="宋体" w:cs="宋体"/>
                <w:color w:val="000000"/>
                <w:sz w:val="24"/>
                <w:szCs w:val="24"/>
                <w:lang w:val="en-US" w:eastAsia="zh-CN" w:bidi="ar-SA"/>
              </w:rPr>
            </w:r>
            <w:r/>
          </w:p>
        </w:tc>
        <w:tc>
          <w:tcPr>
            <w:tcW w:w="423" w:type="dxa"/>
            <w:vAlign w:val="center"/>
            <w:textDirection w:val="lrTb"/>
            <w:noWrap w:val="false"/>
          </w:tcPr>
          <w:p>
            <w:pPr>
              <w:pStyle w:val="1127"/>
              <w:jc w:val="center"/>
              <w:keepLines w:val="0"/>
              <w:keepNext w:val="0"/>
              <w:pageBreakBefore w:val="0"/>
              <w:spacing w:line="44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对供应商针对本项目突发事件应急处理预案进行</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方案科学合理、针对性强，符合采购要求的，得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lang w:val="en-US" w:eastAsia="zh-CN"/>
              </w:rPr>
              <w:t xml:space="preserve">较为</w:t>
            </w:r>
            <w:r>
              <w:rPr>
                <w:rFonts w:hint="eastAsia" w:ascii="宋体" w:hAnsi="宋体" w:eastAsia="宋体" w:cs="宋体"/>
                <w:color w:val="000000"/>
                <w:sz w:val="24"/>
                <w:szCs w:val="24"/>
              </w:rPr>
              <w:t xml:space="preserve">合理、</w:t>
            </w:r>
            <w:r>
              <w:rPr>
                <w:rFonts w:hint="eastAsia" w:ascii="宋体" w:hAnsi="宋体" w:eastAsia="宋体" w:cs="宋体"/>
                <w:color w:val="000000"/>
                <w:sz w:val="24"/>
                <w:szCs w:val="24"/>
                <w:lang w:val="en-US" w:eastAsia="zh-CN"/>
              </w:rPr>
              <w:t xml:space="preserve">针对性一般，</w:t>
            </w:r>
            <w:r>
              <w:rPr>
                <w:rFonts w:hint="eastAsia" w:ascii="宋体" w:hAnsi="宋体" w:eastAsia="宋体" w:cs="宋体"/>
                <w:color w:val="000000"/>
                <w:sz w:val="24"/>
                <w:szCs w:val="24"/>
              </w:rPr>
              <w:t xml:space="preserve">与采购人要求有所出入的，得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方案基本合理、针对性</w:t>
            </w:r>
            <w:r>
              <w:rPr>
                <w:rFonts w:hint="eastAsia" w:ascii="宋体" w:hAnsi="宋体" w:eastAsia="宋体" w:cs="宋体"/>
                <w:color w:val="000000"/>
                <w:sz w:val="24"/>
                <w:szCs w:val="24"/>
                <w:lang w:val="en-US" w:eastAsia="zh-CN"/>
              </w:rPr>
              <w:t xml:space="preserve">较差</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描述简单欠缺、综合评定较差的得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w:t>
            </w:r>
            <w:r>
              <w:rPr>
                <w:rFonts w:hint="eastAsia" w:ascii="宋体" w:hAnsi="宋体" w:eastAsia="宋体" w:cs="宋体"/>
                <w:color w:val="000000"/>
                <w:sz w:val="24"/>
                <w:szCs w:val="24"/>
                <w:lang w:val="en-US" w:eastAsia="zh-CN"/>
              </w:rPr>
            </w:r>
            <w:r/>
          </w:p>
        </w:tc>
        <w:tc>
          <w:tcPr>
            <w:tcW w:w="605" w:type="dxa"/>
            <w:vAlign w:val="center"/>
            <w:textDirection w:val="lrTb"/>
            <w:noWrap w:val="false"/>
          </w:tcPr>
          <w:p>
            <w:pPr>
              <w:pStyle w:val="1127"/>
              <w:ind w:left="0"/>
              <w:jc w:val="center"/>
              <w:keepLines w:val="0"/>
              <w:keepNext w:val="0"/>
              <w:pageBreakBefore w:val="0"/>
              <w:spacing w:line="44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特色服务</w:t>
            </w:r>
            <w:r>
              <w:rPr>
                <w:rFonts w:hint="eastAsia" w:ascii="宋体" w:hAnsi="宋体" w:eastAsia="宋体" w:cs="宋体"/>
                <w:color w:val="000000"/>
                <w:sz w:val="24"/>
                <w:szCs w:val="24"/>
                <w:lang w:val="en-US" w:eastAsia="zh-CN" w:bidi="ar-SA"/>
              </w:rPr>
            </w:r>
            <w:r/>
          </w:p>
        </w:tc>
        <w:tc>
          <w:tcPr>
            <w:tcW w:w="423" w:type="dxa"/>
            <w:vAlign w:val="center"/>
            <w:textDirection w:val="lrTb"/>
            <w:noWrap w:val="false"/>
          </w:tcPr>
          <w:p>
            <w:pPr>
              <w:pStyle w:val="1127"/>
              <w:jc w:val="center"/>
              <w:keepLines w:val="0"/>
              <w:keepNext w:val="0"/>
              <w:pageBreakBefore w:val="0"/>
              <w:spacing w:line="440" w:lineRule="exact"/>
              <w:widowControl/>
              <w:rPr>
                <w:rFonts w:ascii="宋体" w:hAnsi="宋体" w:eastAsia="宋体" w:cs="宋体"/>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针对本项目制定的特色服务方案及具体措施进行</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内容详尽、符合</w:t>
            </w:r>
            <w:r>
              <w:rPr>
                <w:rFonts w:hint="eastAsia" w:ascii="宋体" w:hAnsi="宋体" w:eastAsia="宋体" w:cs="宋体"/>
                <w:color w:val="000000"/>
                <w:sz w:val="24"/>
                <w:szCs w:val="24"/>
                <w:lang w:eastAsia="zh-CN"/>
              </w:rPr>
              <w:t xml:space="preserve">项目要求的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内容完整，与采购人要求有所出入的，得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209"/>
              <w:ind w:left="0" w:firstLine="0"/>
              <w:jc w:val="left"/>
              <w:keepLines w:val="0"/>
              <w:keepNext w:val="0"/>
              <w:pageBreakBefore w:val="0"/>
              <w:spacing w:after="0"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（3）内容一般，方案一般的得6分；</w:t>
            </w:r>
            <w:r>
              <w:rPr>
                <w:rFonts w:hint="eastAsia" w:ascii="宋体" w:hAnsi="宋体" w:eastAsia="宋体" w:cs="宋体"/>
                <w:color w:val="000000"/>
                <w:sz w:val="24"/>
                <w:szCs w:val="24"/>
                <w:lang w:val="en-US" w:eastAsia="zh-CN"/>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内容笼统、方案操作性差的，得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widowControl/>
              <w:tabs>
                <w:tab w:val="left" w:pos="12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未提供本项不得分。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rPr>
            </w:r>
            <w:r/>
          </w:p>
        </w:tc>
        <w:tc>
          <w:tcPr>
            <w:gridSpan w:val="3"/>
            <w:tcW w:w="8032" w:type="dxa"/>
            <w:vAlign w:val="center"/>
            <w:textDirection w:val="lrTb"/>
            <w:noWrap w:val="false"/>
          </w:tcPr>
          <w:p>
            <w:pPr>
              <w:pStyle w:val="1127"/>
              <w:ind w:left="0" w:firstLine="28"/>
              <w:jc w:val="both"/>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客观分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val="en-US" w:eastAsia="zh-CN"/>
              </w:rPr>
            </w:r>
            <w:r/>
          </w:p>
        </w:tc>
        <w:tc>
          <w:tcPr>
            <w:tcW w:w="605" w:type="dxa"/>
            <w:vAlign w:val="center"/>
            <w:vMerge w:val="restart"/>
            <w:textDirection w:val="lrTb"/>
            <w:noWrap w:val="false"/>
          </w:tcPr>
          <w:p>
            <w:pPr>
              <w:pStyle w:val="1127"/>
              <w:ind w:left="0"/>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服务业绩</w:t>
            </w:r>
            <w:r>
              <w:rPr>
                <w:rFonts w:hint="eastAsia" w:ascii="宋体" w:hAnsi="宋体" w:eastAsia="宋体" w:cs="宋体"/>
                <w:color w:val="000000"/>
                <w:sz w:val="24"/>
                <w:szCs w:val="24"/>
                <w:lang w:val="en-US" w:eastAsia="zh-CN" w:bidi="ar-SA"/>
              </w:rPr>
            </w:r>
            <w:r/>
          </w:p>
          <w:p>
            <w:pPr>
              <w:pStyle w:val="1127"/>
              <w:ind w:left="0"/>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423" w:type="dxa"/>
            <w:vAlign w:val="center"/>
            <w:vMerge w:val="restart"/>
            <w:textDirection w:val="lrTb"/>
            <w:noWrap w:val="false"/>
          </w:tcPr>
          <w:p>
            <w:pPr>
              <w:pStyle w:val="1127"/>
              <w:ind w:left="0"/>
              <w:jc w:val="center"/>
              <w:keepLines w:val="0"/>
              <w:keepNext w:val="0"/>
              <w:pageBreakBefore w:val="0"/>
              <w:spacing w:line="44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15</w:t>
            </w:r>
            <w:r>
              <w:rPr>
                <w:rFonts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供应商具有2023年1月1日以来类似保安服务项目案例，每有一个项目得2分，最高得10分。</w:t>
            </w:r>
            <w:r>
              <w:rPr>
                <w:rFonts w:hint="eastAsia" w:ascii="宋体" w:hAnsi="宋体" w:eastAsia="宋体" w:cs="宋体"/>
                <w:color w:val="000000"/>
                <w:sz w:val="24"/>
                <w:szCs w:val="24"/>
                <w:highlight w:val="none"/>
                <w:lang w:val="en-US" w:eastAsia="zh-CN" w:bidi="ar-SA"/>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none"/>
                <w:lang w:val="en-US" w:eastAsia="zh-CN" w:bidi="ar-SA"/>
              </w:rPr>
              <w:t xml:space="preserve">注：（同一个甲方单位同一项目连续签订的不同年度的保安服务合同不累计得分），磋商响应文件中提供合同并加盖供应商公章，否则不得分。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lang w:val="en-US" w:eastAsia="zh-CN"/>
              </w:rPr>
            </w:r>
            <w:r/>
          </w:p>
        </w:tc>
        <w:tc>
          <w:tcPr>
            <w:tcW w:w="605" w:type="dxa"/>
            <w:vAlign w:val="center"/>
            <w:vMerge w:val="continue"/>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3" w:type="dxa"/>
            <w:vAlign w:val="center"/>
            <w:vMerge w:val="continue"/>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针对上述项目服务满意度情况，对应的有甲方服务评价为好或优或满意或同等肯定性评价的，每提供一个得1分，本项最高得5分。 </w:t>
            </w:r>
            <w:r>
              <w:rPr>
                <w:rFonts w:hint="eastAsia" w:ascii="宋体" w:hAnsi="宋体" w:eastAsia="宋体" w:cs="宋体"/>
                <w:color w:val="000000"/>
                <w:sz w:val="24"/>
                <w:szCs w:val="24"/>
                <w:lang w:val="en-US" w:eastAsia="zh-CN" w:bidi="ar-SA"/>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none"/>
                <w:lang w:val="en-US" w:eastAsia="zh-CN" w:bidi="ar-SA"/>
              </w:rPr>
              <w:t xml:space="preserve">注：磋商响应文件中须提供由原采购人（甲方）出具并加盖其公章的满意度评价证明材料（如履约验收报告、满意度调查表、服务评价函等），评价结论须明确为“好”或“优”或“满意”或同等肯定性评价。未按要求提供或提供不全的，不得分。</w:t>
            </w:r>
            <w:r>
              <w:rPr>
                <w:rFonts w:hint="eastAsia" w:ascii="宋体" w:hAnsi="宋体" w:eastAsia="宋体" w:cs="宋体"/>
                <w:color w:val="000000"/>
                <w:sz w:val="24"/>
                <w:szCs w:val="24"/>
                <w:lang w:val="en-US" w:eastAsia="zh-CN" w:bidi="ar-SA"/>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lang w:val="en-US" w:eastAsia="zh-CN"/>
              </w:rPr>
            </w:r>
            <w:r/>
          </w:p>
        </w:tc>
        <w:tc>
          <w:tcPr>
            <w:tcW w:w="605" w:type="dxa"/>
            <w:vAlign w:val="center"/>
            <w:textDirection w:val="lrTb"/>
            <w:noWrap w:val="false"/>
          </w:tcPr>
          <w:p>
            <w:pPr>
              <w:pStyle w:val="1127"/>
              <w:ind w:left="0"/>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所获荣誉</w:t>
            </w:r>
            <w:r>
              <w:rPr>
                <w:rFonts w:hint="eastAsia" w:ascii="宋体" w:hAnsi="宋体" w:eastAsia="宋体" w:cs="宋体"/>
                <w:color w:val="000000"/>
                <w:sz w:val="24"/>
                <w:szCs w:val="24"/>
                <w:lang w:val="en-US" w:eastAsia="zh-CN" w:bidi="ar-SA"/>
              </w:rPr>
            </w:r>
            <w:r/>
          </w:p>
        </w:tc>
        <w:tc>
          <w:tcPr>
            <w:tcW w:w="423" w:type="dxa"/>
            <w:vAlign w:val="center"/>
            <w:textDirection w:val="lrTb"/>
            <w:noWrap w:val="false"/>
          </w:tcPr>
          <w:p>
            <w:pPr>
              <w:pStyle w:val="1127"/>
              <w:ind w:left="0"/>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自2020年1月1日以来，获得过党政机关/主管部门颁发的荣誉或表彰，每提供一份得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（1）磋商响应文件</w:t>
            </w:r>
            <w:r>
              <w:rPr>
                <w:rFonts w:hint="eastAsia" w:ascii="宋体" w:hAnsi="宋体" w:eastAsia="宋体" w:cs="宋体"/>
                <w:b/>
                <w:bCs/>
                <w:color w:val="000000"/>
                <w:sz w:val="24"/>
                <w:szCs w:val="24"/>
              </w:rPr>
              <w:t xml:space="preserve">须提供荣誉证书或表彰文件并加盖供应商公章</w:t>
            </w:r>
            <w:r>
              <w:rPr>
                <w:rFonts w:hint="eastAsia" w:ascii="宋体" w:hAnsi="宋体" w:eastAsia="宋体" w:cs="宋体"/>
                <w:b/>
                <w:bCs/>
                <w:color w:val="000000"/>
                <w:sz w:val="24"/>
                <w:szCs w:val="24"/>
                <w:lang w:val="en-US" w:eastAsia="zh-CN"/>
              </w:rPr>
              <w:t xml:space="preserve">，否则不得分。</w:t>
            </w:r>
            <w:r>
              <w:rPr>
                <w:rFonts w:hint="eastAsia" w:ascii="宋体" w:hAnsi="宋体" w:eastAsia="宋体" w:cs="宋体"/>
                <w:b/>
                <w:bCs/>
                <w:color w:val="000000"/>
                <w:sz w:val="24"/>
                <w:szCs w:val="24"/>
                <w:lang w:val="en-US" w:eastAsia="zh-CN"/>
              </w:rPr>
            </w:r>
            <w:r/>
          </w:p>
          <w:p>
            <w:pPr>
              <w:pStyle w:val="1127"/>
              <w:ind w:left="0" w:firstLine="0"/>
              <w:jc w:val="left"/>
              <w:keepLines w:val="0"/>
              <w:keepNext w:val="0"/>
              <w:pageBreakBefore w:val="0"/>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bidi="ar-SA"/>
              </w:rPr>
              <w:t xml:space="preserve">（2）同一荣誉不重复计分。 </w:t>
            </w:r>
            <w:r>
              <w:rPr>
                <w:rFonts w:hint="eastAsia" w:ascii="宋体" w:hAnsi="宋体" w:eastAsia="宋体" w:cs="宋体"/>
                <w:b/>
                <w:bCs/>
                <w:color w:val="000000"/>
                <w:sz w:val="24"/>
                <w:szCs w:val="24"/>
                <w:lang w:val="en-US" w:eastAsia="zh-CN"/>
              </w:rPr>
            </w:r>
            <w:r/>
          </w:p>
        </w:tc>
      </w:tr>
      <w:tr>
        <w:trPr/>
        <w:tc>
          <w:tcPr>
            <w:tcW w:w="401" w:type="dxa"/>
            <w:vAlign w:val="center"/>
            <w:textDirection w:val="lrTb"/>
            <w:noWrap w:val="false"/>
          </w:tcPr>
          <w:p>
            <w:pPr>
              <w:pStyle w:val="1127"/>
              <w:ind w:left="0" w:firstLine="28"/>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lang w:val="en-US" w:eastAsia="zh-CN"/>
              </w:rPr>
            </w:r>
            <w:r/>
          </w:p>
        </w:tc>
        <w:tc>
          <w:tcPr>
            <w:tcW w:w="605" w:type="dxa"/>
            <w:vAlign w:val="center"/>
            <w:textDirection w:val="lrTb"/>
            <w:noWrap w:val="false"/>
          </w:tcPr>
          <w:p>
            <w:pPr>
              <w:pStyle w:val="1127"/>
              <w:ind w:left="0"/>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资信情况</w:t>
            </w:r>
            <w:r>
              <w:rPr>
                <w:rFonts w:hint="eastAsia" w:ascii="宋体" w:hAnsi="宋体" w:eastAsia="宋体" w:cs="宋体"/>
                <w:color w:val="000000"/>
                <w:sz w:val="24"/>
                <w:szCs w:val="24"/>
                <w:lang w:val="en-US" w:eastAsia="zh-CN" w:bidi="ar-SA"/>
              </w:rPr>
            </w:r>
            <w:r/>
          </w:p>
        </w:tc>
        <w:tc>
          <w:tcPr>
            <w:tcW w:w="423" w:type="dxa"/>
            <w:vAlign w:val="center"/>
            <w:textDirection w:val="lrTb"/>
            <w:noWrap w:val="false"/>
          </w:tcPr>
          <w:p>
            <w:pPr>
              <w:pStyle w:val="1127"/>
              <w:ind w:left="0"/>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bidi="ar-SA"/>
              </w:rPr>
            </w:r>
            <w:r/>
          </w:p>
        </w:tc>
        <w:tc>
          <w:tcPr>
            <w:tcW w:w="3570" w:type="dxa"/>
            <w:vAlign w:val="center"/>
            <w:textDirection w:val="lrTb"/>
            <w:noWrap w:val="false"/>
          </w:tcPr>
          <w:p>
            <w:pPr>
              <w:pStyle w:val="1127"/>
              <w:ind w:left="0" w:firstLine="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供应商具有有效的质量管理体系、环境管理体系、职业健康安全管理体系认证文件的,</w:t>
            </w:r>
            <w:r>
              <w:rPr>
                <w:rFonts w:hint="eastAsia" w:ascii="宋体" w:hAnsi="宋体" w:eastAsia="宋体" w:cs="宋体"/>
                <w:color w:val="000000"/>
                <w:sz w:val="24"/>
                <w:szCs w:val="24"/>
                <w:lang w:val="en-US" w:eastAsia="zh-CN"/>
              </w:rPr>
              <w:t xml:space="preserve">每有一</w:t>
            </w:r>
            <w:r>
              <w:rPr>
                <w:rFonts w:hint="eastAsia" w:ascii="宋体" w:hAnsi="宋体" w:eastAsia="宋体" w:cs="宋体"/>
                <w:color w:val="000000"/>
                <w:sz w:val="24"/>
                <w:szCs w:val="24"/>
              </w:rPr>
              <w:t xml:space="preserve">项得2分，最高得6分。</w:t>
            </w:r>
            <w:r>
              <w:rPr>
                <w:rFonts w:hint="eastAsia" w:ascii="宋体" w:hAnsi="宋体" w:eastAsia="宋体" w:cs="宋体"/>
                <w:color w:val="000000"/>
                <w:sz w:val="24"/>
                <w:szCs w:val="24"/>
              </w:rPr>
            </w:r>
            <w:r/>
          </w:p>
          <w:p>
            <w:pPr>
              <w:pStyle w:val="1127"/>
              <w:ind w:left="0" w:firstLine="0"/>
              <w:jc w:val="left"/>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b/>
                <w:bCs/>
                <w:color w:val="000000"/>
                <w:sz w:val="24"/>
                <w:szCs w:val="24"/>
                <w:highlight w:val="none"/>
                <w:lang w:val="en-US" w:eastAsia="zh-CN" w:bidi="ar-SA"/>
              </w:rPr>
              <w:t xml:space="preserve">注：磋商响应文件中提供有效的证书</w:t>
            </w:r>
            <w:r>
              <w:rPr>
                <w:rFonts w:hint="eastAsia" w:ascii="宋体" w:hAnsi="宋体" w:eastAsia="宋体" w:cs="宋体"/>
                <w:b/>
                <w:bCs/>
                <w:color w:val="000000"/>
                <w:sz w:val="24"/>
                <w:szCs w:val="24"/>
                <w:highlight w:val="none"/>
                <w:lang w:val="en-US" w:eastAsia="zh-CN" w:bidi="ar-SA"/>
              </w:rPr>
              <w:t xml:space="preserve">并加盖</w:t>
            </w:r>
            <w:r>
              <w:rPr>
                <w:rFonts w:hint="eastAsia" w:ascii="宋体" w:hAnsi="宋体" w:cs="宋体"/>
                <w:b/>
                <w:bCs/>
                <w:color w:val="000000"/>
                <w:sz w:val="24"/>
                <w:szCs w:val="24"/>
                <w:highlight w:val="none"/>
                <w:lang w:val="en-US" w:eastAsia="zh-CN" w:bidi="ar-SA"/>
              </w:rPr>
              <w:t xml:space="preserve">供应商公章，否则不得分。</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bidi="ar-SA"/>
              </w:rPr>
            </w:r>
            <w:r/>
          </w:p>
        </w:tc>
      </w:tr>
    </w:tbl>
    <w:p>
      <w:pPr>
        <w:pStyle w:val="1127"/>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注：1.评分细则中要求提供的证明文件及资料等在磋商响应文件中提供并加盖公章，否则不得分。</w:t>
      </w:r>
      <w:r>
        <w:rPr>
          <w:rFonts w:hint="eastAsia" w:ascii="宋体" w:hAnsi="宋体" w:eastAsia="宋体" w:cs="宋体"/>
          <w:bCs/>
          <w:color w:val="000000"/>
          <w:sz w:val="24"/>
          <w:szCs w:val="24"/>
          <w:highlight w:val="none"/>
        </w:rPr>
      </w:r>
      <w:r/>
    </w:p>
    <w:p>
      <w:pPr>
        <w:pStyle w:val="1127"/>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2.评审时，未能按以上要求提供相应证明的，不作为评审依据，不得分。</w:t>
      </w:r>
      <w:r>
        <w:rPr>
          <w:rFonts w:hint="eastAsia" w:ascii="宋体" w:hAnsi="宋体" w:eastAsia="宋体" w:cs="宋体"/>
          <w:bCs/>
          <w:color w:val="000000"/>
          <w:sz w:val="24"/>
          <w:szCs w:val="24"/>
          <w:highlight w:val="none"/>
        </w:rPr>
      </w:r>
      <w:r/>
    </w:p>
    <w:p>
      <w:pPr>
        <w:pStyle w:val="1127"/>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127"/>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rPr>
      </w:r>
      <w:r/>
    </w:p>
    <w:p>
      <w:pPr>
        <w:pStyle w:val="1127"/>
        <w:contextualSpacing/>
        <w:jc w:val="center"/>
        <w:keepLines w:val="0"/>
        <w:keepNext w:val="0"/>
        <w:pageBreakBefore w:val="0"/>
        <w:spacing w:line="360" w:lineRule="auto"/>
        <w:widowControl w:val="off"/>
        <w:rPr>
          <w:b/>
          <w:color w:val="000000"/>
          <w:sz w:val="36"/>
          <w:szCs w:val="36"/>
          <w:highlight w:val="none"/>
        </w:rPr>
        <w:outlineLvl w:val="0"/>
      </w:pPr>
      <w:r/>
      <w:bookmarkStart w:id="608" w:name="_Toc104818928"/>
      <w:r/>
      <w:bookmarkStart w:id="609" w:name="_Toc8874"/>
      <w:r>
        <w:rPr>
          <w:b/>
          <w:color w:val="000000"/>
          <w:sz w:val="36"/>
          <w:szCs w:val="36"/>
          <w:highlight w:val="none"/>
        </w:rPr>
        <w:t xml:space="preserve">第四章   采购需求</w:t>
      </w:r>
      <w:bookmarkEnd w:id="608"/>
      <w:r/>
      <w:bookmarkEnd w:id="609"/>
      <w:r>
        <w:rPr>
          <w:b/>
          <w:color w:val="000000"/>
          <w:sz w:val="36"/>
          <w:szCs w:val="36"/>
          <w:highlight w:val="none"/>
        </w:rPr>
      </w:r>
      <w:r/>
    </w:p>
    <w:p>
      <w:pPr>
        <w:pStyle w:val="1127"/>
        <w:keepLines w:val="0"/>
        <w:keepNext w:val="0"/>
        <w:pageBreakBefore w:val="0"/>
        <w:spacing w:line="500" w:lineRule="exact"/>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一、采购标的</w:t>
      </w:r>
      <w:r>
        <w:rPr>
          <w:rFonts w:hint="eastAsia" w:ascii="宋体" w:hAnsi="宋体" w:eastAsia="宋体" w:cs="宋体"/>
          <w:b/>
          <w:color w:val="000000"/>
          <w:sz w:val="24"/>
          <w:szCs w:val="24"/>
          <w:highlight w:val="none"/>
          <w:lang w:val="en-US"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t xml:space="preserve">本项目为省厅金融证券大数据研判中心2026-2029年保安服务项目，具体服务内容及相关要求详见本项目采购需求</w:t>
      </w:r>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keepLines w:val="0"/>
        <w:keepNext w:val="0"/>
        <w:pageBreakBefore w:val="0"/>
        <w:spacing w:line="500" w:lineRule="exact"/>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二、商务要求</w:t>
      </w:r>
      <w:r>
        <w:rPr>
          <w:rFonts w:hint="eastAsia" w:ascii="宋体" w:hAnsi="宋体" w:eastAsia="宋体" w:cs="宋体"/>
          <w:b/>
          <w:color w:val="000000"/>
          <w:sz w:val="24"/>
          <w:szCs w:val="24"/>
          <w:highlight w:val="none"/>
          <w:lang w:val="en-US" w:eastAsia="zh-CN"/>
        </w:rPr>
      </w:r>
      <w:r/>
    </w:p>
    <w:p>
      <w:pPr>
        <w:pStyle w:val="1127"/>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lang w:val="en-US" w:eastAsia="zh-CN"/>
        </w:rPr>
        <w:t xml:space="preserve">及地点</w:t>
      </w:r>
      <w:r>
        <w:rPr>
          <w:rFonts w:hint="eastAsia" w:ascii="宋体" w:hAnsi="宋体" w:eastAsia="宋体" w:cs="宋体"/>
          <w:color w:val="000000"/>
          <w:sz w:val="24"/>
          <w:szCs w:val="24"/>
          <w:highlight w:val="none"/>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服务期限：</w:t>
      </w:r>
      <w:r>
        <w:rPr>
          <w:rFonts w:hint="eastAsia" w:ascii="宋体" w:hAnsi="宋体" w:eastAsia="宋体" w:cs="宋体"/>
          <w:color w:val="000000"/>
          <w:sz w:val="24"/>
          <w:szCs w:val="24"/>
          <w:highlight w:val="none"/>
          <w:lang w:eastAsia="zh-CN"/>
        </w:rPr>
        <w:t xml:space="preserve">服务期三年，合同一年一签。在预算保障且年度考核合格前提下可续签；考核不合格（考核分数年平均低于80分）有权不予续签并重新采购。具体考核见考核细则。</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服务地点：</w:t>
      </w:r>
      <w:r>
        <w:rPr>
          <w:rFonts w:hint="eastAsia" w:ascii="宋体" w:hAnsi="宋体" w:eastAsia="宋体" w:cs="宋体"/>
          <w:color w:val="000000"/>
          <w:sz w:val="24"/>
          <w:szCs w:val="24"/>
          <w:highlight w:val="none"/>
          <w:lang w:eastAsia="zh-CN"/>
        </w:rPr>
        <w:t xml:space="preserve">钟楼区通江南路180号。</w:t>
      </w:r>
      <w:r>
        <w:rPr>
          <w:rFonts w:hint="eastAsia" w:ascii="宋体" w:hAnsi="宋体" w:eastAsia="宋体" w:cs="宋体"/>
          <w:color w:val="000000"/>
          <w:sz w:val="24"/>
          <w:szCs w:val="24"/>
          <w:highlight w:val="none"/>
          <w:lang w:eastAsia="zh-CN"/>
        </w:rPr>
      </w:r>
      <w:r/>
    </w:p>
    <w:p>
      <w:pPr>
        <w:pStyle w:val="1127"/>
        <w:jc w:val="left"/>
        <w:keepLines w:val="0"/>
        <w:keepNext w:val="0"/>
        <w:pageBreakBefore w:val="0"/>
        <w:spacing w:line="500" w:lineRule="exact"/>
        <w:widowControl/>
        <w:tabs>
          <w:tab w:val="left" w:pos="12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支付方式</w:t>
      </w:r>
      <w:r>
        <w:rPr>
          <w:rFonts w:hint="eastAsia" w:ascii="宋体" w:hAnsi="宋体" w:eastAsia="宋体" w:cs="宋体"/>
          <w:b/>
          <w:bCs/>
          <w:color w:val="000000"/>
          <w:sz w:val="24"/>
          <w:szCs w:val="24"/>
          <w:highlight w:val="none"/>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产生的费用，按当期考核后按实结算。考核达90分（含）以上，支付当期应付金额的100%；考核达80分（含）-90分，支付当期应付金额的90%；考核达70分（含）-80分，支付当期应付金额的80%；考核达70分以下，不支付当期应付金额。</w:t>
      </w:r>
      <w:r>
        <w:rPr>
          <w:rFonts w:hint="eastAsia" w:ascii="宋体" w:hAnsi="宋体" w:eastAsia="宋体" w:cs="宋体"/>
          <w:color w:val="000000"/>
          <w:sz w:val="24"/>
          <w:szCs w:val="24"/>
          <w:highlight w:val="none"/>
          <w:lang w:eastAsia="zh-CN"/>
        </w:rPr>
      </w:r>
      <w:r/>
    </w:p>
    <w:p>
      <w:pPr>
        <w:pStyle w:val="1127"/>
        <w:keepLines w:val="0"/>
        <w:keepNext w:val="0"/>
        <w:pageBreakBefore w:val="0"/>
        <w:spacing w:line="500" w:lineRule="exact"/>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三、服务要求</w:t>
      </w:r>
      <w:r>
        <w:rPr>
          <w:rFonts w:hint="eastAsia" w:ascii="宋体" w:hAnsi="宋体" w:eastAsia="宋体" w:cs="宋体"/>
          <w:b/>
          <w:color w:val="000000"/>
          <w:sz w:val="24"/>
          <w:szCs w:val="24"/>
          <w:highlight w:val="none"/>
          <w:lang w:val="en-US"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1.门岗岗位设置</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（1）本项目共设有2个门岗；</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（2）本项目人员配置要求（最低配置）：</w:t>
      </w:r>
      <w:r>
        <w:rPr>
          <w:rFonts w:hint="eastAsia" w:ascii="宋体" w:hAnsi="宋体" w:eastAsia="宋体" w:cs="宋体"/>
          <w:color w:val="000000"/>
          <w:sz w:val="24"/>
          <w:szCs w:val="24"/>
          <w:highlight w:val="none"/>
          <w:lang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7"/>
        <w:gridCol w:w="2856"/>
        <w:gridCol w:w="2856"/>
      </w:tblGrid>
      <w:tr>
        <w:trPr>
          <w:trHeight w:val="369"/>
        </w:trPr>
        <w:tc>
          <w:tcPr>
            <w:tcW w:w="1647" w:type="dxa"/>
            <w:vAlign w:val="center"/>
            <w:textDirection w:val="lrTb"/>
            <w:noWrap w:val="false"/>
          </w:tcPr>
          <w:p>
            <w:pPr>
              <w:pStyle w:val="1127"/>
              <w:ind w:firstLine="0"/>
              <w:jc w:val="center"/>
              <w:keepLines w:val="0"/>
              <w:keepNext w:val="0"/>
              <w:pageBreakBefore w:val="0"/>
              <w:spacing w:line="500" w:lineRule="exact"/>
              <w:widowControl/>
              <w:tabs>
                <w:tab w:val="left" w:pos="120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配置</w:t>
            </w:r>
            <w:r>
              <w:rPr>
                <w:rFonts w:hint="eastAsia" w:ascii="宋体" w:hAnsi="宋体" w:eastAsia="宋体" w:cs="宋体"/>
                <w:b/>
                <w:bCs/>
                <w:color w:val="000000"/>
                <w:sz w:val="24"/>
                <w:szCs w:val="24"/>
                <w:highlight w:val="none"/>
                <w:lang w:eastAsia="zh-CN"/>
              </w:rPr>
            </w:r>
            <w:r/>
          </w:p>
        </w:tc>
        <w:tc>
          <w:tcPr>
            <w:tcW w:w="1676" w:type="dxa"/>
            <w:vAlign w:val="center"/>
            <w:textDirection w:val="lrTb"/>
            <w:noWrap w:val="false"/>
          </w:tcPr>
          <w:p>
            <w:pPr>
              <w:pStyle w:val="1127"/>
              <w:ind w:firstLine="0"/>
              <w:jc w:val="center"/>
              <w:keepLines w:val="0"/>
              <w:keepNext w:val="0"/>
              <w:pageBreakBefore w:val="0"/>
              <w:spacing w:line="500" w:lineRule="exact"/>
              <w:widowControl/>
              <w:tabs>
                <w:tab w:val="left" w:pos="120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人数</w:t>
            </w:r>
            <w:r>
              <w:rPr>
                <w:rFonts w:hint="eastAsia" w:ascii="宋体" w:hAnsi="宋体" w:eastAsia="宋体" w:cs="宋体"/>
                <w:b/>
                <w:bCs/>
                <w:color w:val="000000"/>
                <w:sz w:val="24"/>
                <w:szCs w:val="24"/>
                <w:highlight w:val="none"/>
                <w:lang w:eastAsia="zh-CN"/>
              </w:rPr>
            </w:r>
            <w:r/>
          </w:p>
        </w:tc>
        <w:tc>
          <w:tcPr>
            <w:tcW w:w="1676" w:type="dxa"/>
            <w:vAlign w:val="center"/>
            <w:textDirection w:val="lrTb"/>
            <w:noWrap w:val="false"/>
          </w:tcPr>
          <w:p>
            <w:pPr>
              <w:pStyle w:val="1127"/>
              <w:ind w:firstLine="0"/>
              <w:jc w:val="center"/>
              <w:keepLines w:val="0"/>
              <w:keepNext w:val="0"/>
              <w:pageBreakBefore w:val="0"/>
              <w:spacing w:line="500" w:lineRule="exact"/>
              <w:widowControl/>
              <w:tabs>
                <w:tab w:val="left" w:pos="120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年龄</w:t>
            </w:r>
            <w:r>
              <w:rPr>
                <w:rFonts w:hint="eastAsia" w:ascii="宋体" w:hAnsi="宋体" w:eastAsia="宋体" w:cs="宋体"/>
                <w:b/>
                <w:bCs/>
                <w:color w:val="000000"/>
                <w:sz w:val="24"/>
                <w:szCs w:val="24"/>
                <w:highlight w:val="none"/>
                <w:lang w:eastAsia="zh-CN"/>
              </w:rPr>
            </w:r>
            <w:r/>
          </w:p>
        </w:tc>
      </w:tr>
      <w:tr>
        <w:trPr>
          <w:trHeight w:val="369"/>
        </w:trPr>
        <w:tc>
          <w:tcPr>
            <w:tcW w:w="1647" w:type="dxa"/>
            <w:vAlign w:val="center"/>
            <w:textDirection w:val="lrTb"/>
            <w:noWrap w:val="false"/>
          </w:tcPr>
          <w:p>
            <w:pPr>
              <w:pStyle w:val="1127"/>
              <w:ind w:firstLine="0"/>
              <w:jc w:val="center"/>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保安队员</w:t>
            </w:r>
            <w:r>
              <w:rPr>
                <w:rFonts w:hint="eastAsia" w:ascii="宋体" w:hAnsi="宋体" w:eastAsia="宋体" w:cs="宋体"/>
                <w:color w:val="000000"/>
                <w:sz w:val="24"/>
                <w:szCs w:val="24"/>
                <w:highlight w:val="none"/>
                <w:lang w:eastAsia="zh-CN"/>
              </w:rPr>
            </w:r>
            <w:r/>
          </w:p>
        </w:tc>
        <w:tc>
          <w:tcPr>
            <w:tcW w:w="1676" w:type="dxa"/>
            <w:vAlign w:val="center"/>
            <w:textDirection w:val="lrTb"/>
            <w:noWrap w:val="false"/>
          </w:tcPr>
          <w:p>
            <w:pPr>
              <w:pStyle w:val="1127"/>
              <w:ind w:firstLine="0"/>
              <w:jc w:val="center"/>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eastAsia="zh-CN"/>
              </w:rPr>
            </w:r>
            <w:r/>
          </w:p>
        </w:tc>
        <w:tc>
          <w:tcPr>
            <w:tcW w:w="1676" w:type="dxa"/>
            <w:vAlign w:val="center"/>
            <w:textDirection w:val="lrTb"/>
            <w:noWrap w:val="false"/>
          </w:tcPr>
          <w:p>
            <w:pPr>
              <w:pStyle w:val="1127"/>
              <w:ind w:firstLine="0"/>
              <w:jc w:val="center"/>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18周岁以上，55周岁以下</w:t>
            </w:r>
            <w:r>
              <w:rPr>
                <w:rFonts w:hint="eastAsia" w:ascii="宋体" w:hAnsi="宋体" w:eastAsia="宋体" w:cs="宋体"/>
                <w:color w:val="000000"/>
                <w:sz w:val="24"/>
                <w:szCs w:val="24"/>
                <w:highlight w:val="none"/>
                <w:lang w:eastAsia="zh-CN"/>
              </w:rPr>
            </w:r>
            <w:r/>
          </w:p>
        </w:tc>
      </w:tr>
    </w:tbl>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2.门岗工作内容</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（1）做好门岗的秩序维护工作；</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（2）24小时执勤，做好门岗值守；</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（3）不定期的流动巡逻和对采购人下班后的查楼；</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（4）门岗出入口处、道路、地下车库的巡视；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（5）地面车位及地下车库停放管理。</w:t>
      </w:r>
      <w:r>
        <w:rPr>
          <w:rFonts w:hint="eastAsia" w:ascii="宋体" w:hAnsi="宋体" w:eastAsia="宋体" w:cs="宋体"/>
          <w:color w:val="000000"/>
          <w:sz w:val="24"/>
          <w:szCs w:val="24"/>
          <w:highlight w:val="none"/>
          <w:lang w:eastAsia="zh-CN"/>
        </w:rPr>
      </w:r>
      <w:r/>
    </w:p>
    <w:p>
      <w:pPr>
        <w:pStyle w:val="1127"/>
        <w:keepLines w:val="0"/>
        <w:keepNext w:val="0"/>
        <w:pageBreakBefore w:val="0"/>
        <w:spacing w:line="500" w:lineRule="exact"/>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四、服务要求</w:t>
      </w:r>
      <w:r>
        <w:rPr>
          <w:rFonts w:hint="eastAsia" w:ascii="宋体" w:hAnsi="宋体" w:eastAsia="宋体" w:cs="宋体"/>
          <w:b/>
          <w:color w:val="000000"/>
          <w:sz w:val="24"/>
          <w:szCs w:val="24"/>
          <w:highlight w:val="none"/>
          <w:lang w:val="en-US"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1.规范着装，佩带工卡，精神饱满，体现良好形象；</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2.遵守法律、法规和各项管理制度、工作纪律，坚守岗位、态度热情、言行文明礼貌，无骂人、打架事件发生；</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3.严格遵守人员、车辆、物品进出规定，禁止闲杂人员进入；</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4.服从安排、团结协作，无因管理原因造成的严重治安、刑事案件的发生；</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5.每天应不定时地对大楼及地下车库进行流动巡查。白班不少于3次、夜班不少于4次。</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6.每年进行1-2次演练，提高应对突发事件处置能力。</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7.采购人下班后，对大楼内进行全面的清场巡查工作。要及时全面检查、巡视大楼各楼层水、电、门、窗是否关闭，做好节能降耗工作。</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8.夜间的巡查要细致，门锁要逐个检查。没有上锁的，严禁私自进入办公室内，要帮助锁好并做好记录。</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9.晚间对办公楼内加班人员要及时做好保障和服务工作。</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10.夜间巡逻公共秩序维护员不得睡岗，由当班班长全面负责协调、督促，发现情况要及时处理并做详细记录。</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11.节假日的巡查保卫，当班期间执勤人员严禁做与工作无关事宜。</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12.管理地面及地下车库，外来车辆未经许可，不可进入地下车库；凡装有易燃、易爆、剧毒品或有污染物品车辆，不准驶入地下车库。</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13.每2小时1次巡查车辆停放情况及车辆的车况，遇有门未锁、灯未关、漏油、漏水等现象发生时，及时通知车主。</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14.地下车库内无货物堆积、道路阻塞现象。地下车库道路平整无坑、无尖锐物、无金属钉状物。地下车库无违章明火施工。</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15.当发生治安案件时，要及时向领导汇报或与派出所联系，并按《突发事件处理标准作业规程》进行处理。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16.维护和保证防盗、防火等报警监控设备的正常运行，做好安全防范和日常巡视工作，及时发现和处理各种事故隐患，迅速有效地处置突发事件。</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17.制度健全，措施落实，责任明确，管理规范，合账齐全。</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18.接受常州市公安局的监督检查和指导。</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19.台账记录规范完备，保管完好。</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20.因管理不善或工作失误造成损失的，应当承担相应的经济责任；构成犯罪的，依法追究刑事责任。</w:t>
      </w:r>
      <w:r>
        <w:rPr>
          <w:rFonts w:hint="eastAsia" w:ascii="宋体" w:hAnsi="宋体" w:eastAsia="宋体" w:cs="宋体"/>
          <w:color w:val="000000"/>
          <w:sz w:val="24"/>
          <w:szCs w:val="24"/>
          <w:highlight w:val="none"/>
          <w:lang w:eastAsia="zh-CN"/>
        </w:rPr>
      </w:r>
      <w:r/>
    </w:p>
    <w:p>
      <w:pPr>
        <w:pStyle w:val="1127"/>
        <w:keepLines w:val="0"/>
        <w:keepNext w:val="0"/>
        <w:pageBreakBefore w:val="0"/>
        <w:spacing w:line="500" w:lineRule="exact"/>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五、考核细则</w:t>
      </w:r>
      <w:r>
        <w:rPr>
          <w:rFonts w:hint="eastAsia" w:ascii="宋体" w:hAnsi="宋体" w:eastAsia="宋体" w:cs="宋体"/>
          <w:b/>
          <w:color w:val="000000"/>
          <w:sz w:val="24"/>
          <w:szCs w:val="24"/>
          <w:highlight w:val="none"/>
          <w:lang w:val="en-US"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1.当班人员着装整齐、仪表整洁、按要求佩戴工作牌。发现一项不符合要求每次扣1分。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2.按时交接班，无缺岗、迟到早退现象、在采购人不知情的前提下私自脱岗发现一次扣5分，迟到早退一次扣2分。有突发紧急情况不报扣5分。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区域化巡防责任制管理到位，认真巡查，台账记录真实详尽。上班时间不得做与工作无关的事。闲聊、玩手机、吸游烟、发现一次扣1分，睡觉、喝酒、看书、打牌、下棋、离岗、台账无记录或记录不全、每次扣2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上班时看到有人踩踏绿化、摘花、赤膊、攀爬设施、睡在凳子上等不文明行为，当班人员必须立即进行阻止和劝说，每发现不作为一次扣1分。发现未经允许宠物、车辆进入内的行为，不作为，不劝离每次扣2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5.因工作疏忽、管理失当，造成本岗位范围内植物、设施等财产损失的，按实际价值赔偿，并按损失的轻重予以2至5分不等的扣分。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6.门卫值班室24小时有人值守（上洗手间除外），不得把座椅搬出门卫室，如违反以上规定每次扣1分，无故私自脱岗发现一次扣5分，迟到早退一次扣2分。有突发紧急情况不报扣5分。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7.上班前五分钟，现场主管必须召集交接班人员集合，要求当班人员统一着装，检查仪容仪表及规定佩戴的物品是否齐全。做好交接班记录，如没按规定操作每次扣2分。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8.保安人员上班时必须随身佩带对讲机，同时要确保对讲机处于正常工作状态，随叫随答，对讲机内不准讲与工作无关及消极的话语和污言秽语。呼叫无应答或语言不规范一次扣3分。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9.因玩忽职守，造成重大经济损失或人员伤亡的，如火灾、意外伤害等（自然灾害除外），立即报警并配合调查。所发生的经济损失和后果均由成交供应商承担。</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10.保安人员上班监守自盗，在照价赔偿的同时扣10分，并立即进行人员调整，情节严重者移送派出所处理。所发生的经济损失和后果均由成交供应商承担。</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11.发现可疑人员，要及时报告、主动盘查、跟踪，并防止意外发生。如知情不报扣5分，处理不当扣3分。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12.利用监控及时掌握情况，详细记录所看到的异常情况，和各岗须有良好的呼应配合。发生情况不呼叫不支援不上报扣2分，造成严重后果的扣10分。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13.门卫室环境整洁，设备设施清洁完好。不符合要求的每项扣2分。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14.服从采购单位管理和安排，遵章守纪。无损坏采购单位形象的言行举止。不服从管理一次扣5分。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15.违反上述细则需在规定期限内整改，如未及时整改或整改不到位将加倍扣分。</w:t>
      </w:r>
      <w:r>
        <w:rPr>
          <w:rFonts w:hint="eastAsia" w:ascii="宋体" w:hAnsi="宋体" w:eastAsia="宋体" w:cs="宋体"/>
          <w:color w:val="000000"/>
          <w:sz w:val="24"/>
          <w:szCs w:val="24"/>
          <w:highlight w:val="none"/>
          <w:lang w:eastAsia="zh-CN"/>
        </w:rPr>
      </w:r>
      <w:r/>
    </w:p>
    <w:p>
      <w:pPr>
        <w:pStyle w:val="1127"/>
        <w:ind w:firstLine="420"/>
        <w:jc w:val="left"/>
        <w:keepLines w:val="0"/>
        <w:keepNext w:val="0"/>
        <w:pageBreakBefore w:val="0"/>
        <w:spacing w:line="500" w:lineRule="exact"/>
        <w:widowControl/>
        <w:tabs>
          <w:tab w:val="left" w:pos="12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16.采购人如对考核办法进行更改，则根据调整后的考核办法执行。</w:t>
      </w:r>
      <w:r>
        <w:rPr>
          <w:rFonts w:hint="eastAsia" w:ascii="宋体" w:hAnsi="宋体" w:eastAsia="宋体" w:cs="宋体"/>
          <w:color w:val="000000"/>
          <w:sz w:val="24"/>
          <w:szCs w:val="24"/>
          <w:highlight w:val="none"/>
          <w:lang w:eastAsia="zh-CN"/>
        </w:rPr>
      </w:r>
      <w:r/>
    </w:p>
    <w:p>
      <w:pPr>
        <w:pStyle w:val="1127"/>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color w:val="000000"/>
          <w:sz w:val="24"/>
          <w:szCs w:val="24"/>
          <w:highlight w:val="none"/>
          <w:lang w:val="en-US" w:eastAsia="zh-CN"/>
        </w:rPr>
        <w:t xml:space="preserve">其他要求</w:t>
      </w:r>
      <w:r>
        <w:rPr>
          <w:rFonts w:hint="eastAsia" w:ascii="宋体" w:hAnsi="宋体" w:eastAsia="宋体" w:cs="宋体"/>
          <w:b/>
          <w:color w:val="000000"/>
          <w:sz w:val="24"/>
          <w:szCs w:val="24"/>
          <w:highlight w:val="none"/>
          <w:lang w:val="en-US" w:eastAsia="zh-CN"/>
        </w:rPr>
      </w:r>
      <w:r/>
    </w:p>
    <w:p>
      <w:pPr>
        <w:pStyle w:val="1249"/>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szCs w:val="24"/>
          <w:highlight w:val="none"/>
          <w:u w:val="single"/>
          <w:lang w:val="en-US" w:eastAsia="zh-CN"/>
        </w:rPr>
        <w:t xml:space="preserve"> 100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rPr>
        <w:outlineLvl w:val="9"/>
      </w:pPr>
      <w:r>
        <w:rPr>
          <w:rFonts w:hint="eastAsia" w:ascii="宋体" w:hAnsi="宋体" w:eastAsia="宋体" w:cs="宋体"/>
          <w:b/>
          <w:color w:val="000000"/>
          <w:sz w:val="24"/>
          <w:szCs w:val="24"/>
          <w:highlight w:val="none"/>
          <w:u w:val="none"/>
          <w:lang w:val="en-US" w:eastAsia="zh-CN"/>
        </w:rPr>
        <w:t xml:space="preserve">七</w:t>
      </w:r>
      <w:r>
        <w:rPr>
          <w:rFonts w:hint="eastAsia" w:ascii="宋体" w:hAnsi="宋体" w:eastAsia="宋体" w:cs="宋体"/>
          <w:b/>
          <w:color w:val="000000"/>
          <w:sz w:val="24"/>
          <w:szCs w:val="24"/>
          <w:highlight w:val="none"/>
          <w:u w:val="none"/>
        </w:rPr>
        <w:t xml:space="preserve">、报价方式</w:t>
      </w:r>
      <w:r>
        <w:rPr>
          <w:rFonts w:hint="eastAsia" w:ascii="宋体" w:hAnsi="宋体" w:eastAsia="宋体" w:cs="宋体"/>
          <w:b/>
          <w:color w:val="000000"/>
          <w:sz w:val="24"/>
          <w:szCs w:val="24"/>
          <w:highlight w:val="none"/>
          <w:u w:val="none"/>
        </w:rPr>
      </w:r>
      <w:r/>
    </w:p>
    <w:p>
      <w:pPr>
        <w:pStyle w:val="1127"/>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outlineLvl w:val="9"/>
      </w:pPr>
      <w:r>
        <w:rPr>
          <w:rFonts w:hint="eastAsia" w:ascii="宋体" w:hAnsi="宋体" w:eastAsia="宋体" w:cs="宋体"/>
          <w:color w:val="000000"/>
          <w:spacing w:val="2"/>
          <w:sz w:val="24"/>
          <w:szCs w:val="24"/>
          <w:highlight w:val="none"/>
          <w:u w:val="none"/>
          <w:lang w:val="en-US" w:eastAsia="zh-CN"/>
        </w:rPr>
        <w:t xml:space="preserve">本项目报价为</w:t>
      </w:r>
      <w:r>
        <w:rPr>
          <w:rFonts w:hint="eastAsia" w:ascii="宋体" w:hAnsi="宋体" w:eastAsia="宋体" w:cs="宋体"/>
          <w:b/>
          <w:bCs/>
          <w:color w:val="000000"/>
          <w:spacing w:val="2"/>
          <w:sz w:val="24"/>
          <w:szCs w:val="24"/>
          <w:highlight w:val="none"/>
          <w:u w:val="none"/>
          <w:lang w:val="en-US" w:eastAsia="zh-CN"/>
        </w:rPr>
        <w:t xml:space="preserve">固定总价</w:t>
      </w:r>
      <w:r>
        <w:rPr>
          <w:rFonts w:hint="eastAsia" w:ascii="宋体" w:hAnsi="宋体" w:eastAsia="宋体" w:cs="宋体"/>
          <w:color w:val="000000"/>
          <w:spacing w:val="2"/>
          <w:sz w:val="24"/>
          <w:szCs w:val="24"/>
          <w:highlight w:val="none"/>
          <w:u w:val="none"/>
          <w:lang w:val="en-US" w:eastAsia="zh-CN"/>
        </w:rPr>
        <w:t xml:space="preserve">，磋商报价应包括竞争性磋商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pacing w:val="2"/>
          <w:sz w:val="24"/>
          <w:szCs w:val="24"/>
          <w:highlight w:val="none"/>
          <w:u w:val="none"/>
          <w:lang w:val="en-US" w:eastAsia="zh-CN"/>
        </w:rPr>
      </w:r>
      <w:r/>
    </w:p>
    <w:p>
      <w:pPr>
        <w:pStyle w:val="1127"/>
        <w:ind w:firstLine="480"/>
        <w:keepLines w:val="0"/>
        <w:keepNext w:val="0"/>
        <w:pageBreakBefore w:val="0"/>
        <w:spacing w:line="360" w:lineRule="auto"/>
        <w:rPr>
          <w:rFonts w:hint="eastAsia" w:ascii="宋体" w:hAnsi="宋体" w:eastAsia="宋体" w:cs="宋体"/>
          <w:color w:val="000000"/>
          <w:spacing w:val="2"/>
          <w:sz w:val="24"/>
          <w:szCs w:val="24"/>
          <w:highlight w:val="none"/>
          <w:u w:val="none"/>
          <w:lang w:val="en-US" w:eastAsia="zh-CN"/>
        </w:rPr>
        <w:outlineLvl w:val="9"/>
      </w:pPr>
      <w:r>
        <w:rPr>
          <w:rFonts w:hint="eastAsia" w:ascii="宋体" w:hAnsi="宋体" w:eastAsia="宋体" w:cs="宋体"/>
          <w:color w:val="000000"/>
          <w:sz w:val="24"/>
          <w:szCs w:val="24"/>
          <w:highlight w:val="none"/>
          <w:lang w:val="en-US" w:eastAsia="zh-CN"/>
        </w:rPr>
        <w:t xml:space="preserve">报价货币为人民币，评审时以人民币为准。</w:t>
      </w:r>
      <w:r>
        <w:rPr>
          <w:rFonts w:hint="eastAsia" w:ascii="宋体" w:hAnsi="宋体" w:eastAsia="宋体" w:cs="宋体"/>
          <w:color w:val="000000"/>
          <w:spacing w:val="2"/>
          <w:sz w:val="24"/>
          <w:szCs w:val="24"/>
          <w:highlight w:val="none"/>
          <w:u w:val="none"/>
          <w:lang w:val="en-US" w:eastAsia="zh-CN"/>
        </w:rPr>
      </w:r>
      <w:r/>
    </w:p>
    <w:p>
      <w:pPr>
        <w:pStyle w:val="1127"/>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r>
      <w:r/>
    </w:p>
    <w:p>
      <w:pPr>
        <w:pStyle w:val="1127"/>
        <w:ind w:firstLine="723"/>
        <w:jc w:val="center"/>
        <w:keepLines w:val="0"/>
        <w:keepNext w:val="0"/>
        <w:pageBreakBefore w:val="0"/>
        <w:spacing w:line="360" w:lineRule="auto"/>
        <w:widowControl w:val="off"/>
        <w:rPr>
          <w:b/>
          <w:color w:val="000000"/>
          <w:sz w:val="36"/>
          <w:szCs w:val="36"/>
          <w:highlight w:val="none"/>
        </w:rPr>
        <w:outlineLvl w:val="0"/>
      </w:pPr>
      <w:r/>
      <w:bookmarkStart w:id="610" w:name="_Toc104"/>
      <w:r/>
      <w:bookmarkStart w:id="611" w:name="_Toc104818929"/>
      <w:r>
        <w:rPr>
          <w:b/>
          <w:color w:val="000000"/>
          <w:sz w:val="36"/>
          <w:szCs w:val="36"/>
          <w:highlight w:val="none"/>
        </w:rPr>
        <w:t xml:space="preserve">第五章   合同草案条款</w:t>
      </w:r>
      <w:bookmarkEnd w:id="610"/>
      <w:r/>
      <w:bookmarkEnd w:id="611"/>
      <w:r>
        <w:rPr>
          <w:b/>
          <w:color w:val="000000"/>
          <w:sz w:val="36"/>
          <w:szCs w:val="36"/>
          <w:highlight w:val="none"/>
        </w:rPr>
      </w:r>
      <w:r/>
    </w:p>
    <w:p>
      <w:pPr>
        <w:pStyle w:val="1169"/>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612" w:name="_Toc104818930"/>
      <w:r/>
      <w:bookmarkStart w:id="613" w:name="_Toc10386"/>
      <w:r>
        <w:rPr>
          <w:rFonts w:hint="eastAsia" w:hAnsi="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lang w:val="zh-CN"/>
        </w:rPr>
        <w:t xml:space="preserve">（以下称甲</w:t>
      </w:r>
      <w:r>
        <w:rPr>
          <w:rFonts w:hint="eastAsia" w:ascii="宋体" w:hAnsi="宋体" w:eastAsia="宋体" w:cs="宋体"/>
          <w:b/>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常州市公安局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69"/>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cs="宋体"/>
          <w:b/>
          <w:color w:val="000000"/>
          <w:sz w:val="24"/>
          <w:szCs w:val="24"/>
          <w:highlight w:val="none"/>
          <w:lang w:val="en-US" w:eastAsia="zh-CN"/>
        </w:rPr>
        <w:t xml:space="preserve">中标人</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41"/>
        <w:ind w:firstLine="96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41"/>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41"/>
        <w:jc w:val="righ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以及有关法律、法规的规定，经协商一致，订立本合同，以便共同遵守。</w:t>
      </w:r>
      <w:r>
        <w:rPr>
          <w:rFonts w:hint="eastAsia" w:ascii="宋体" w:hAnsi="宋体" w:eastAsia="宋体" w:cs="宋体"/>
          <w:color w:val="000000"/>
          <w:sz w:val="24"/>
          <w:szCs w:val="24"/>
          <w:highlight w:val="none"/>
        </w:rPr>
      </w:r>
      <w:r/>
    </w:p>
    <w:p>
      <w:pPr>
        <w:pStyle w:val="1169"/>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127"/>
        <w:ind w:firstLine="484"/>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27"/>
        <w:contextualSpacing/>
        <w:ind w:firstLine="482"/>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三年，合同一年一签。第一年服务期限为</w:t>
      </w:r>
      <w:r>
        <w:rPr>
          <w:rFonts w:hint="eastAsia" w:ascii="宋体" w:hAnsi="宋体" w:eastAsia="宋体" w:cs="宋体"/>
          <w:color w:val="000000"/>
          <w:sz w:val="24"/>
          <w:szCs w:val="24"/>
          <w:highlight w:val="none"/>
          <w:u w:val="single"/>
        </w:rPr>
        <w:t xml:space="preserve">    年   月   日</w:t>
      </w:r>
      <w:r>
        <w:rPr>
          <w:rFonts w:hint="eastAsia" w:ascii="宋体" w:hAnsi="宋体" w:cs="宋体"/>
          <w:bCs/>
          <w:color w:val="000000"/>
          <w:sz w:val="24"/>
          <w:szCs w:val="24"/>
          <w:highlight w:val="none"/>
          <w:lang w:val="en-US" w:eastAsia="zh-CN"/>
        </w:rPr>
        <w:t xml:space="preserve">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t xml:space="preserve">每年合同期满经采购人考核合格后续签下一年度合同（考核分数年平均低于80分不得续签）</w:t>
      </w:r>
      <w:r>
        <w:rPr>
          <w:rFonts w:hint="eastAsia" w:ascii="宋体" w:hAnsi="宋体" w:eastAsia="宋体" w:cs="宋体"/>
          <w:color w:val="000000"/>
          <w:sz w:val="24"/>
          <w:szCs w:val="24"/>
          <w:highlight w:val="none"/>
          <w:u w:val="single"/>
          <w:lang w:eastAsia="zh-CN"/>
        </w:rPr>
      </w:r>
      <w:r/>
    </w:p>
    <w:p>
      <w:pPr>
        <w:pStyle w:val="1127"/>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169"/>
        <w:ind w:firstLine="487"/>
        <w:jc w:val="left"/>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签约合同价（人民币，下同）</w:t>
      </w:r>
      <w:r>
        <w:rPr>
          <w:rFonts w:hint="eastAsia" w:ascii="宋体" w:hAnsi="宋体" w:eastAsia="宋体" w:cs="宋体"/>
          <w:b/>
          <w:color w:val="000000"/>
          <w:sz w:val="24"/>
          <w:szCs w:val="24"/>
          <w:highlight w:val="none"/>
          <w:u w:val="single"/>
        </w:rPr>
        <w:t xml:space="preserve">：    元</w:t>
      </w:r>
      <w:r>
        <w:rPr>
          <w:rFonts w:hint="eastAsia" w:hAnsi="宋体" w:cs="宋体"/>
          <w:b/>
          <w:color w:val="000000"/>
          <w:sz w:val="24"/>
          <w:szCs w:val="24"/>
          <w:highlight w:val="none"/>
          <w:u w:val="single"/>
          <w:lang w:val="en-US" w:eastAsia="zh-CN"/>
        </w:rPr>
        <w:t xml:space="preserve">/叁年</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rPr>
          <w:rFonts w:hint="eastAsia" w:hAnsi="宋体" w:cs="宋体"/>
          <w:b/>
          <w:color w:val="000000"/>
          <w:sz w:val="24"/>
          <w:szCs w:val="24"/>
          <w:highlight w:val="none"/>
          <w:u w:val="single"/>
          <w:lang w:val="en-US" w:eastAsia="zh-CN"/>
        </w:rPr>
        <w:t xml:space="preserve">/叁年</w:t>
      </w:r>
      <w:r>
        <w:rPr>
          <w:rFonts w:hint="eastAsia" w:ascii="宋体" w:hAnsi="宋体" w:eastAsia="宋体" w:cs="宋体"/>
          <w:b/>
          <w:color w:val="000000"/>
          <w:sz w:val="24"/>
          <w:szCs w:val="24"/>
          <w:highlight w:val="none"/>
          <w:u w:val="single"/>
        </w:rPr>
        <w:t xml:space="preserve">）</w:t>
      </w:r>
      <w:r>
        <w:rPr>
          <w:rFonts w:hint="eastAsia"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元</w:t>
      </w:r>
      <w:r>
        <w:rPr>
          <w:rFonts w:hint="eastAsia" w:hAnsi="宋体" w:cs="宋体"/>
          <w:b/>
          <w:color w:val="000000"/>
          <w:sz w:val="24"/>
          <w:szCs w:val="24"/>
          <w:highlight w:val="none"/>
          <w:u w:val="single"/>
          <w:lang w:val="en-US" w:eastAsia="zh-CN"/>
        </w:rPr>
        <w:t xml:space="preserve">/年</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rPr>
          <w:rFonts w:hint="eastAsia" w:hAnsi="宋体" w:cs="宋体"/>
          <w:b/>
          <w:color w:val="000000"/>
          <w:sz w:val="24"/>
          <w:szCs w:val="24"/>
          <w:highlight w:val="none"/>
          <w:u w:val="single"/>
          <w:lang w:val="en-US" w:eastAsia="zh-CN"/>
        </w:rPr>
        <w:t xml:space="preserve">/年</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lang w:val="en-US" w:eastAsia="zh-CN"/>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本合同价</w:t>
      </w:r>
      <w:r>
        <w:rPr>
          <w:rFonts w:hint="eastAsia" w:ascii="宋体" w:hAnsi="宋体" w:eastAsia="宋体" w:cs="宋体"/>
          <w:color w:val="000000"/>
          <w:spacing w:val="2"/>
          <w:sz w:val="24"/>
          <w:szCs w:val="24"/>
          <w:highlight w:val="none"/>
          <w:u w:val="none"/>
          <w:lang w:val="en-US" w:eastAsia="zh-CN"/>
        </w:rPr>
        <w:t xml:space="preserve">包括竞争性磋商文件所确定的采购范围</w:t>
      </w:r>
      <w:r>
        <w:rPr>
          <w:rFonts w:hint="eastAsia" w:hAnsi="宋体" w:cs="宋体"/>
          <w:color w:val="000000"/>
          <w:spacing w:val="2"/>
          <w:sz w:val="24"/>
          <w:szCs w:val="24"/>
          <w:highlight w:val="none"/>
          <w:u w:val="none"/>
          <w:lang w:val="en-US" w:eastAsia="zh-CN"/>
        </w:rPr>
        <w:t xml:space="preserve">内</w:t>
      </w:r>
      <w:r>
        <w:rPr>
          <w:rFonts w:hint="eastAsia" w:ascii="宋体" w:hAnsi="宋体" w:eastAsia="宋体" w:cs="宋体"/>
          <w:color w:val="000000"/>
          <w:spacing w:val="2"/>
          <w:sz w:val="24"/>
          <w:szCs w:val="24"/>
          <w:highlight w:val="none"/>
          <w:u w:val="none"/>
          <w:lang w:val="en-US" w:eastAsia="zh-CN"/>
        </w:rPr>
        <w:t xml:space="preserve">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不再支付其他任何费用。</w:t>
      </w:r>
      <w:r>
        <w:rPr>
          <w:rFonts w:hint="eastAsia" w:ascii="宋体" w:hAnsi="宋体" w:eastAsia="宋体" w:cs="宋体"/>
          <w:color w:val="000000"/>
          <w:sz w:val="24"/>
          <w:szCs w:val="24"/>
          <w:highlight w:val="none"/>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169"/>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组成本合同的有关文件</w:t>
      </w:r>
      <w:r>
        <w:rPr>
          <w:rFonts w:hint="eastAsia" w:ascii="宋体" w:hAnsi="宋体" w:eastAsia="宋体" w:cs="宋体"/>
          <w:b/>
          <w:color w:val="000000"/>
          <w:sz w:val="24"/>
          <w:szCs w:val="24"/>
          <w:highlight w:val="none"/>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（编号：</w:t>
      </w:r>
      <w:r>
        <w:rPr>
          <w:rFonts w:hint="eastAsia" w:hAnsi="宋体" w:cs="宋体"/>
          <w:color w:val="000000"/>
          <w:sz w:val="24"/>
          <w:szCs w:val="24"/>
          <w:highlight w:val="none"/>
          <w:lang w:val="en-US" w:eastAsia="zh-CN"/>
        </w:rPr>
        <w:t xml:space="preserve">JSZC-320400-SYZB-C2026-0054</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w:t>
      </w:r>
      <w:r>
        <w:rPr>
          <w:rFonts w:hint="eastAsia" w:ascii="宋体" w:hAnsi="宋体" w:eastAsia="宋体" w:cs="宋体"/>
          <w:color w:val="000000"/>
          <w:sz w:val="24"/>
          <w:szCs w:val="24"/>
          <w:highlight w:val="none"/>
          <w:lang w:eastAsia="zh-CN"/>
        </w:rPr>
        <w:t xml:space="preserve">磋商响应文件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1169"/>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 合同款结算及支付</w:t>
      </w:r>
      <w:r>
        <w:rPr>
          <w:rFonts w:hint="eastAsia" w:ascii="宋体" w:hAnsi="宋体" w:eastAsia="宋体" w:cs="宋体"/>
          <w:b/>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3.结算方式：固定总价。</w:t>
      </w:r>
      <w:r>
        <w:rPr>
          <w:rFonts w:ascii="宋体" w:hAnsi="宋体" w:eastAsia="宋体" w:cs="宋体"/>
          <w:color w:val="000000"/>
          <w:sz w:val="24"/>
          <w:szCs w:val="24"/>
          <w:highlight w:val="none"/>
          <w:lang w:val="en-US" w:eastAsia="zh-CN"/>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4.付款方式：根据产生的费用，按当期考核后按实结算。考核达90分（含）以上，支付当期应付金额的100%；考核达80分（含）-90分，支付</w:t>
      </w:r>
      <w:r>
        <w:rPr>
          <w:rFonts w:hint="eastAsia" w:ascii="宋体" w:hAnsi="宋体" w:eastAsia="宋体" w:cs="宋体"/>
          <w:color w:val="000000"/>
          <w:sz w:val="24"/>
          <w:szCs w:val="24"/>
          <w:highlight w:val="none"/>
          <w:lang w:val="en-US" w:eastAsia="zh-CN"/>
        </w:rPr>
        <w:t xml:space="preserve">当期</w:t>
      </w:r>
      <w:r>
        <w:rPr>
          <w:rFonts w:hint="eastAsia" w:ascii="宋体" w:hAnsi="宋体" w:eastAsia="宋体" w:cs="宋体"/>
          <w:color w:val="000000"/>
          <w:sz w:val="24"/>
          <w:szCs w:val="24"/>
          <w:highlight w:val="none"/>
          <w:lang w:val="en-US" w:eastAsia="zh-CN"/>
        </w:rPr>
        <w:t xml:space="preserve">应付金额的90%；考核达70分（含）-80分，支付</w:t>
      </w:r>
      <w:r>
        <w:rPr>
          <w:rFonts w:hint="eastAsia" w:ascii="宋体" w:hAnsi="宋体" w:eastAsia="宋体" w:cs="宋体"/>
          <w:color w:val="000000"/>
          <w:sz w:val="24"/>
          <w:szCs w:val="24"/>
          <w:highlight w:val="none"/>
          <w:lang w:val="en-US" w:eastAsia="zh-CN"/>
        </w:rPr>
        <w:t xml:space="preserve">当期</w:t>
      </w:r>
      <w:r>
        <w:rPr>
          <w:rFonts w:hint="eastAsia" w:ascii="宋体" w:hAnsi="宋体" w:eastAsia="宋体" w:cs="宋体"/>
          <w:color w:val="000000"/>
          <w:sz w:val="24"/>
          <w:szCs w:val="24"/>
          <w:highlight w:val="none"/>
          <w:lang w:val="en-US" w:eastAsia="zh-CN"/>
        </w:rPr>
        <w:t xml:space="preserve">应付金额的80%；考核达70分以下，不支付</w:t>
      </w:r>
      <w:r>
        <w:rPr>
          <w:rFonts w:hint="eastAsia" w:ascii="宋体" w:hAnsi="宋体" w:eastAsia="宋体" w:cs="宋体"/>
          <w:color w:val="000000"/>
          <w:sz w:val="24"/>
          <w:szCs w:val="24"/>
          <w:highlight w:val="none"/>
          <w:lang w:val="en-US" w:eastAsia="zh-CN"/>
        </w:rPr>
        <w:t xml:space="preserve">当期</w:t>
      </w:r>
      <w:r>
        <w:rPr>
          <w:rFonts w:hint="eastAsia" w:ascii="宋体" w:hAnsi="宋体" w:eastAsia="宋体" w:cs="宋体"/>
          <w:color w:val="000000"/>
          <w:sz w:val="24"/>
          <w:szCs w:val="24"/>
          <w:highlight w:val="none"/>
          <w:lang w:val="en-US" w:eastAsia="zh-CN"/>
        </w:rPr>
        <w:t xml:space="preserve">应付金额。</w:t>
      </w:r>
      <w:r>
        <w:rPr>
          <w:rFonts w:hint="eastAsia" w:ascii="宋体" w:hAnsi="宋体" w:eastAsia="宋体" w:cs="宋体"/>
          <w:color w:val="000000"/>
          <w:sz w:val="24"/>
          <w:szCs w:val="24"/>
          <w:highlight w:val="none"/>
          <w:lang w:val="en-US" w:eastAsia="zh-CN"/>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12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.乙方未按本合同的规定和“服务承诺”提供伴随服务的，甲方有权提前解除本合同，同时乙方应按合同总价款的5 %向甲方承担违约责任。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.乙方有虚假承诺，或是由于乙方的过错造成合同无法继续履行的，应向甲方支付不少于合同总价30%违约金，若该违约金不足以弥补甲方损失，则应当赔偿甲方所有损失。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诚实信用 </w:t>
      </w:r>
      <w:r>
        <w:rPr>
          <w:rFonts w:hint="eastAsia" w:ascii="宋体" w:hAnsi="宋体" w:eastAsia="宋体" w:cs="宋体"/>
          <w:b/>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要求和</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承诺履行合同，不向甲方进行商业贿赂或者提供不正当利益。</w:t>
      </w:r>
      <w:r>
        <w:rPr>
          <w:rFonts w:hint="eastAsia" w:ascii="宋体" w:hAnsi="宋体" w:eastAsia="宋体" w:cs="宋体"/>
          <w:color w:val="000000"/>
          <w:sz w:val="24"/>
          <w:szCs w:val="24"/>
          <w:highlight w:val="none"/>
        </w:rPr>
      </w:r>
      <w:r/>
    </w:p>
    <w:p>
      <w:pPr>
        <w:pStyle w:val="1127"/>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w:t>
      </w:r>
      <w:r>
        <w:rPr>
          <w:rFonts w:hint="eastAsia" w:ascii="宋体" w:hAnsi="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份，甲乙双方各执贰份。</w:t>
      </w:r>
      <w:r>
        <w:rPr>
          <w:rFonts w:hint="eastAsia" w:ascii="宋体" w:hAnsi="宋体" w:eastAsia="宋体" w:cs="宋体"/>
          <w:color w:val="000000"/>
          <w:sz w:val="24"/>
          <w:szCs w:val="24"/>
          <w:highlight w:val="none"/>
        </w:rPr>
      </w:r>
      <w:r/>
    </w:p>
    <w:p>
      <w:pPr>
        <w:pStyle w:val="1127"/>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12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27"/>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12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27"/>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账</w:t>
      </w:r>
      <w:r>
        <w:rPr>
          <w:rFonts w:hint="eastAsia" w:ascii="宋体" w:hAnsi="宋体" w:eastAsia="宋体" w:cs="宋体"/>
          <w:color w:val="000000"/>
          <w:sz w:val="24"/>
          <w:szCs w:val="24"/>
          <w:highlight w:val="none"/>
        </w:rPr>
        <w:t xml:space="preserve">号：</w:t>
      </w:r>
      <w:r>
        <w:rPr>
          <w:rFonts w:hint="eastAsia" w:ascii="宋体" w:hAnsi="宋体" w:eastAsia="宋体" w:cs="宋体"/>
          <w:bCs/>
          <w:color w:val="000000"/>
          <w:sz w:val="24"/>
          <w:szCs w:val="24"/>
          <w:highlight w:val="none"/>
          <w:lang w:val="en-US" w:eastAsia="zh-CN"/>
        </w:rPr>
      </w:r>
      <w:r/>
    </w:p>
    <w:p>
      <w:pPr>
        <w:pStyle w:val="1127"/>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headerReference w:type="default" r:id="rId11"/>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24"/>
          <w:szCs w:val="24"/>
          <w:highlight w:val="none"/>
          <w:lang w:val="en-US" w:eastAsia="zh-CN"/>
        </w:rPr>
      </w:r>
      <w:r/>
    </w:p>
    <w:p>
      <w:pPr>
        <w:pStyle w:val="1127"/>
        <w:ind w:firstLine="480"/>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12"/>
      <w:r/>
      <w:bookmarkEnd w:id="613"/>
      <w:r>
        <w:rPr>
          <w:b/>
          <w:color w:val="000000"/>
          <w:sz w:val="36"/>
          <w:szCs w:val="36"/>
          <w:highlight w:val="none"/>
        </w:rPr>
      </w:r>
      <w:r/>
    </w:p>
    <w:p>
      <w:pPr>
        <w:pStyle w:val="1127"/>
        <w:jc w:val="left"/>
        <w:spacing w:line="360" w:lineRule="auto"/>
        <w:widowControl/>
        <w:rPr>
          <w:b/>
          <w:color w:val="000000"/>
          <w:sz w:val="24"/>
          <w:highlight w:val="none"/>
        </w:rPr>
        <w:outlineLvl w:val="9"/>
      </w:pPr>
      <w:r>
        <w:rPr>
          <w:b/>
          <w:color w:val="000000"/>
          <w:sz w:val="24"/>
          <w:highlight w:val="none"/>
        </w:rPr>
      </w:r>
      <w:r/>
    </w:p>
    <w:p>
      <w:pPr>
        <w:pStyle w:val="1127"/>
        <w:jc w:val="left"/>
        <w:spacing w:line="360" w:lineRule="auto"/>
        <w:widowControl/>
        <w:rPr>
          <w:b/>
          <w:color w:val="000000"/>
          <w:sz w:val="24"/>
          <w:highlight w:val="none"/>
        </w:rPr>
        <w:outlineLvl w:val="9"/>
      </w:pPr>
      <w:r>
        <w:rPr>
          <w:b/>
          <w:color w:val="000000"/>
          <w:sz w:val="24"/>
          <w:highlight w:val="none"/>
        </w:rPr>
      </w:r>
      <w:r/>
    </w:p>
    <w:p>
      <w:pPr>
        <w:pStyle w:val="1127"/>
        <w:ind w:left="142"/>
        <w:spacing w:line="360" w:lineRule="auto"/>
        <w:tabs>
          <w:tab w:val="left" w:pos="900" w:leader="none"/>
          <w:tab w:val="left" w:pos="1980" w:leader="none"/>
        </w:tabs>
        <w:rPr>
          <w:b/>
          <w:color w:val="000000"/>
          <w:sz w:val="24"/>
          <w:highlight w:val="none"/>
        </w:rPr>
        <w:outlineLvl w:val="9"/>
      </w:pPr>
      <w:r>
        <w:rPr>
          <w:rFonts w:hint="eastAsia"/>
          <w:b/>
          <w:color w:val="000000"/>
          <w:sz w:val="24"/>
          <w:highlight w:val="none"/>
        </w:rPr>
        <w:t xml:space="preserve">供应商编制文件须知</w:t>
      </w:r>
      <w:r>
        <w:rPr>
          <w:b/>
          <w:color w:val="000000"/>
          <w:sz w:val="24"/>
          <w:highlight w:val="none"/>
        </w:rPr>
      </w:r>
      <w:r/>
    </w:p>
    <w:p>
      <w:pPr>
        <w:pStyle w:val="1127"/>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127"/>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27"/>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1127"/>
        <w:ind w:left="142"/>
        <w:spacing w:line="360" w:lineRule="auto"/>
        <w:tabs>
          <w:tab w:val="left" w:pos="900" w:leader="none"/>
          <w:tab w:val="left" w:pos="1980" w:leader="none"/>
        </w:tabs>
        <w:rPr>
          <w:color w:val="000000"/>
          <w:sz w:val="24"/>
          <w:highlight w:val="none"/>
        </w:rPr>
        <w:outlineLvl w:val="9"/>
      </w:pPr>
      <w:r>
        <w:rPr>
          <w:rFonts w:hint="eastAsia"/>
          <w:color w:val="000000"/>
          <w:sz w:val="24"/>
          <w:highlight w:val="none"/>
        </w:rPr>
        <w:t xml:space="preserve">4、实行电子化不见面交易方式的，加盖公章、签名等均通过响应文件编制工具加盖电子公章、签字、签章或印鉴。</w:t>
      </w:r>
      <w:r>
        <w:rPr>
          <w:color w:val="000000"/>
          <w:sz w:val="24"/>
          <w:highlight w:val="none"/>
        </w:rPr>
      </w:r>
      <w:r/>
    </w:p>
    <w:p>
      <w:pPr>
        <w:pStyle w:val="1127"/>
        <w:ind w:left="142"/>
        <w:spacing w:line="360" w:lineRule="auto"/>
        <w:tabs>
          <w:tab w:val="left" w:pos="900" w:leader="none"/>
          <w:tab w:val="left" w:pos="1980" w:leader="none"/>
        </w:tabs>
        <w:rPr>
          <w:color w:val="000000"/>
          <w:sz w:val="24"/>
          <w:highlight w:val="none"/>
        </w:rPr>
        <w:outlineLvl w:val="9"/>
      </w:pPr>
      <w:r>
        <w:rPr>
          <w:color w:val="000000"/>
          <w:sz w:val="24"/>
          <w:highlight w:val="none"/>
        </w:rPr>
      </w:r>
      <w:r/>
    </w:p>
    <w:p>
      <w:pPr>
        <w:pStyle w:val="1127"/>
        <w:jc w:val="left"/>
        <w:widowControl/>
        <w:rPr>
          <w:color w:val="000000"/>
          <w:sz w:val="24"/>
          <w:highlight w:val="none"/>
        </w:rPr>
        <w:outlineLvl w:val="9"/>
      </w:pPr>
      <w:r>
        <w:rPr>
          <w:color w:val="000000"/>
          <w:sz w:val="24"/>
          <w:highlight w:val="none"/>
        </w:rPr>
        <w:br w:type="page" w:clear="all"/>
      </w:r>
      <w:r>
        <w:rPr>
          <w:color w:val="000000"/>
          <w:sz w:val="24"/>
          <w:highlight w:val="none"/>
        </w:rPr>
      </w:r>
      <w:r/>
    </w:p>
    <w:p>
      <w:pPr>
        <w:pStyle w:val="1127"/>
        <w:rPr>
          <w:b/>
          <w:color w:val="000000"/>
          <w:spacing w:val="20"/>
          <w:szCs w:val="21"/>
          <w:highlight w:val="none"/>
        </w:rPr>
        <w:outlineLvl w:val="9"/>
      </w:pPr>
      <w:r/>
      <w:bookmarkEnd w:id="560"/>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b/>
          <w:color w:val="000000"/>
          <w:spacing w:val="20"/>
          <w:szCs w:val="21"/>
          <w:highlight w:val="none"/>
        </w:rPr>
      </w:r>
      <w:r/>
    </w:p>
    <w:p>
      <w:pPr>
        <w:pStyle w:val="1127"/>
        <w:rPr>
          <w:b/>
          <w:color w:val="000000"/>
          <w:sz w:val="24"/>
          <w:highlight w:val="none"/>
        </w:rPr>
        <w:outlineLvl w:val="9"/>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127"/>
        <w:jc w:val="center"/>
        <w:rPr>
          <w:color w:val="000000"/>
          <w:szCs w:val="21"/>
          <w:highlight w:val="none"/>
        </w:rPr>
        <w:outlineLvl w:val="9"/>
      </w:pPr>
      <w:r>
        <w:rPr>
          <w:color w:val="000000"/>
          <w:szCs w:val="21"/>
          <w:highlight w:val="none"/>
        </w:rPr>
      </w:r>
      <w:r/>
    </w:p>
    <w:p>
      <w:pPr>
        <w:pStyle w:val="1127"/>
        <w:jc w:val="center"/>
        <w:rPr>
          <w:b/>
          <w:color w:val="000000"/>
          <w:spacing w:val="60"/>
          <w:sz w:val="84"/>
          <w:szCs w:val="84"/>
          <w:highlight w:val="none"/>
        </w:rPr>
        <w:outlineLvl w:val="9"/>
      </w:pPr>
      <w:r>
        <w:rPr>
          <w:b/>
          <w:color w:val="000000"/>
          <w:spacing w:val="60"/>
          <w:sz w:val="84"/>
          <w:szCs w:val="84"/>
          <w:highlight w:val="none"/>
        </w:rPr>
        <w:t xml:space="preserve">响 应 文 件</w:t>
      </w:r>
      <w:r>
        <w:rPr>
          <w:b/>
          <w:color w:val="000000"/>
          <w:spacing w:val="60"/>
          <w:sz w:val="84"/>
          <w:szCs w:val="84"/>
          <w:highlight w:val="none"/>
        </w:rPr>
      </w:r>
      <w:r/>
    </w:p>
    <w:p>
      <w:pPr>
        <w:pStyle w:val="1127"/>
        <w:jc w:val="center"/>
        <w:rPr>
          <w:b/>
          <w:color w:val="000000"/>
          <w:spacing w:val="60"/>
          <w:sz w:val="52"/>
          <w:szCs w:val="52"/>
          <w:highlight w:val="none"/>
        </w:rPr>
        <w:outlineLvl w:val="9"/>
      </w:pPr>
      <w:r>
        <w:rPr>
          <w:b/>
          <w:color w:val="000000"/>
          <w:spacing w:val="60"/>
          <w:sz w:val="52"/>
          <w:szCs w:val="52"/>
          <w:highlight w:val="none"/>
        </w:rPr>
      </w:r>
      <w:r/>
    </w:p>
    <w:p>
      <w:pPr>
        <w:pStyle w:val="1127"/>
        <w:ind w:firstLine="542"/>
        <w:rPr>
          <w:b/>
          <w:color w:val="000000"/>
          <w:spacing w:val="20"/>
          <w:sz w:val="32"/>
          <w:szCs w:val="32"/>
          <w:highlight w:val="none"/>
        </w:rPr>
        <w:outlineLvl w:val="9"/>
      </w:pPr>
      <w:r>
        <w:rPr>
          <w:b/>
          <w:color w:val="000000"/>
          <w:spacing w:val="20"/>
          <w:sz w:val="32"/>
          <w:szCs w:val="32"/>
          <w:highlight w:val="none"/>
        </w:rPr>
      </w:r>
      <w:r/>
    </w:p>
    <w:p>
      <w:pPr>
        <w:pStyle w:val="1127"/>
        <w:ind w:firstLine="542"/>
        <w:rPr>
          <w:b/>
          <w:color w:val="000000"/>
          <w:spacing w:val="20"/>
          <w:sz w:val="32"/>
          <w:szCs w:val="32"/>
          <w:highlight w:val="none"/>
        </w:rPr>
        <w:outlineLvl w:val="9"/>
      </w:pPr>
      <w:r>
        <w:rPr>
          <w:b/>
          <w:color w:val="000000"/>
          <w:spacing w:val="20"/>
          <w:sz w:val="32"/>
          <w:szCs w:val="32"/>
          <w:highlight w:val="none"/>
        </w:rPr>
      </w:r>
      <w:r/>
    </w:p>
    <w:p>
      <w:pPr>
        <w:pStyle w:val="1127"/>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7"/>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7"/>
        <w:rPr>
          <w:rFonts w:ascii="宋体" w:hAnsi="宋体"/>
          <w:b/>
          <w:color w:val="000000"/>
          <w:sz w:val="36"/>
          <w:highlight w:val="none"/>
          <w:u w:val="single"/>
        </w:rPr>
        <w:outlineLvl w:val="9"/>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7"/>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7"/>
        <w:jc w:val="center"/>
        <w:rPr>
          <w:b/>
          <w:color w:val="000000"/>
          <w:sz w:val="32"/>
          <w:szCs w:val="32"/>
          <w:highlight w:val="none"/>
        </w:rPr>
        <w:outlineLvl w:val="9"/>
      </w:pPr>
      <w:r>
        <w:rPr>
          <w:b/>
          <w:color w:val="000000"/>
          <w:sz w:val="32"/>
          <w:szCs w:val="32"/>
          <w:highlight w:val="none"/>
        </w:rPr>
      </w:r>
      <w:r/>
    </w:p>
    <w:p>
      <w:pPr>
        <w:pStyle w:val="1127"/>
        <w:rPr>
          <w:color w:val="000000"/>
          <w:sz w:val="24"/>
          <w:szCs w:val="20"/>
          <w:highlight w:val="none"/>
        </w:rPr>
        <w:outlineLvl w:val="9"/>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27"/>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供应商资格声明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1127"/>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1127"/>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141"/>
        <w:ind w:firstLine="480"/>
        <w:spacing w:line="460" w:lineRule="exact"/>
        <w:rPr>
          <w:color w:val="000000"/>
          <w:highlight w:val="none"/>
        </w:rPr>
        <w:outlineLvl w:val="9"/>
      </w:pPr>
      <w:r>
        <w:rPr>
          <w:color w:val="000000"/>
          <w:highlight w:val="none"/>
        </w:rPr>
      </w:r>
      <w:r/>
    </w:p>
    <w:p>
      <w:pPr>
        <w:pStyle w:val="1141"/>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1141"/>
        <w:ind w:firstLine="960"/>
        <w:spacing w:line="460" w:lineRule="exact"/>
        <w:rPr>
          <w:color w:val="000000"/>
          <w:highlight w:val="none"/>
          <w:u w:val="single"/>
        </w:rPr>
        <w:outlineLvl w:val="9"/>
      </w:pPr>
      <w:r>
        <w:rPr>
          <w:rFonts w:hint="eastAsia"/>
          <w:color w:val="000000"/>
          <w:highlight w:val="none"/>
          <w:u w:val="single"/>
        </w:rPr>
        <w:t xml:space="preserve">（采购人名称）</w:t>
      </w:r>
      <w:r>
        <w:rPr>
          <w:color w:val="000000"/>
          <w:highlight w:val="none"/>
          <w:u w:val="single"/>
        </w:rPr>
      </w:r>
      <w:r/>
    </w:p>
    <w:p>
      <w:pPr>
        <w:pStyle w:val="1141"/>
        <w:ind w:firstLine="480"/>
        <w:spacing w:line="460" w:lineRule="exact"/>
        <w:rPr>
          <w:color w:val="000000"/>
          <w:highlight w:val="none"/>
        </w:rPr>
        <w:outlineLvl w:val="9"/>
      </w:pP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四、我单位依法进行纳税和社会保险申报并实际履行了义务。</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七、我单位具备法律、行政法规规定的其他条件。</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41"/>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41"/>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41"/>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41"/>
        <w:ind w:firstLine="480"/>
        <w:spacing w:line="460" w:lineRule="exact"/>
        <w:rPr>
          <w:color w:val="000000"/>
          <w:highlight w:val="none"/>
        </w:rPr>
        <w:outlineLvl w:val="9"/>
      </w:pP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41"/>
        <w:ind w:firstLine="480"/>
        <w:spacing w:line="460" w:lineRule="exact"/>
        <w:rPr>
          <w:color w:val="000000"/>
          <w:highlight w:val="none"/>
        </w:rPr>
        <w:outlineLvl w:val="9"/>
      </w:pPr>
      <w:r>
        <w:rPr>
          <w:color w:val="000000"/>
          <w:highlight w:val="none"/>
        </w:rPr>
      </w:r>
      <w:r/>
    </w:p>
    <w:p>
      <w:pPr>
        <w:pStyle w:val="1141"/>
        <w:ind w:firstLine="480"/>
        <w:spacing w:line="460" w:lineRule="exact"/>
        <w:rPr>
          <w:color w:val="000000"/>
          <w:highlight w:val="none"/>
        </w:rPr>
        <w:outlineLvl w:val="9"/>
      </w:pP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                                            供应商：（加盖公章）</w:t>
      </w:r>
      <w:r>
        <w:rPr>
          <w:color w:val="000000"/>
          <w:highlight w:val="none"/>
        </w:rPr>
      </w:r>
      <w:r/>
    </w:p>
    <w:p>
      <w:pPr>
        <w:pStyle w:val="1141"/>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1141"/>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1127"/>
        <w:spacing w:line="360" w:lineRule="auto"/>
        <w:rPr>
          <w:rFonts w:hint="eastAsia"/>
          <w:color w:val="000000"/>
          <w:sz w:val="24"/>
          <w:highlight w:val="none"/>
        </w:rPr>
        <w:outlineLvl w:val="9"/>
      </w:pPr>
      <w:r>
        <w:rPr>
          <w:rFonts w:hint="eastAsia"/>
          <w:color w:val="000000"/>
          <w:sz w:val="24"/>
          <w:highlight w:val="none"/>
        </w:rPr>
      </w:r>
      <w:r/>
    </w:p>
    <w:p>
      <w:pPr>
        <w:pStyle w:val="1127"/>
        <w:spacing w:line="360" w:lineRule="auto"/>
        <w:rPr>
          <w:rFonts w:hint="eastAsia"/>
          <w:color w:val="000000"/>
          <w:sz w:val="24"/>
          <w:highlight w:val="none"/>
        </w:rPr>
        <w:outlineLvl w:val="9"/>
      </w:pPr>
      <w:r>
        <w:rPr>
          <w:rFonts w:hint="eastAsia"/>
          <w:color w:val="000000"/>
          <w:sz w:val="24"/>
          <w:highlight w:val="none"/>
        </w:rPr>
      </w:r>
      <w:r/>
    </w:p>
    <w:p>
      <w:pPr>
        <w:pStyle w:val="1127"/>
        <w:spacing w:line="360" w:lineRule="auto"/>
        <w:rPr>
          <w:rFonts w:hint="eastAsia"/>
          <w:color w:val="000000"/>
          <w:sz w:val="24"/>
          <w:highlight w:val="none"/>
        </w:rPr>
        <w:outlineLvl w:val="9"/>
      </w:pPr>
      <w:r>
        <w:rPr>
          <w:rFonts w:hint="eastAsia"/>
          <w:color w:val="000000"/>
          <w:sz w:val="24"/>
          <w:highlight w:val="none"/>
        </w:rPr>
      </w:r>
      <w:r/>
    </w:p>
    <w:p>
      <w:pPr>
        <w:pStyle w:val="1127"/>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27"/>
        <w:spacing w:line="360" w:lineRule="auto"/>
        <w:tabs>
          <w:tab w:val="left" w:pos="5580" w:leader="none"/>
        </w:tabs>
        <w:rPr>
          <w:color w:val="000000"/>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1127"/>
        <w:spacing w:line="360" w:lineRule="auto"/>
        <w:rPr>
          <w:color w:val="000000"/>
          <w:sz w:val="24"/>
          <w:szCs w:val="20"/>
          <w:highlight w:val="none"/>
        </w:rPr>
        <w:outlineLvl w:val="9"/>
      </w:pPr>
      <w:r>
        <w:rPr>
          <w:color w:val="000000"/>
          <w:sz w:val="24"/>
          <w:szCs w:val="20"/>
          <w:highlight w:val="none"/>
        </w:rPr>
        <w:t xml:space="preserve">2 落实政府采购政策需满足的资格要求</w:t>
      </w:r>
      <w:r>
        <w:rPr>
          <w:color w:val="000000"/>
          <w:sz w:val="24"/>
          <w:szCs w:val="20"/>
          <w:highlight w:val="none"/>
        </w:rPr>
      </w:r>
      <w:r/>
    </w:p>
    <w:p>
      <w:pPr>
        <w:pStyle w:val="1127"/>
        <w:spacing w:line="360" w:lineRule="auto"/>
        <w:rPr>
          <w:color w:val="000000"/>
          <w:sz w:val="24"/>
          <w:szCs w:val="20"/>
          <w:highlight w:val="none"/>
        </w:rPr>
        <w:outlineLvl w:val="9"/>
      </w:pPr>
      <w:r>
        <w:rPr>
          <w:color w:val="000000"/>
          <w:sz w:val="24"/>
          <w:szCs w:val="20"/>
          <w:highlight w:val="none"/>
        </w:rPr>
        <w:t xml:space="preserve">2-1 中小企业声明函</w:t>
      </w:r>
      <w:r>
        <w:rPr>
          <w:color w:val="000000"/>
          <w:sz w:val="24"/>
          <w:szCs w:val="20"/>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t xml:space="preserve">说明：</w:t>
      </w:r>
      <w:r>
        <w:rPr>
          <w:color w:val="000000"/>
          <w:sz w:val="24"/>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t xml:space="preserve">（1）本项目专门面向中小企业采购，须提供《中小企业声明函》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t xml:space="preserve">（2）其它</w:t>
      </w:r>
      <w:r>
        <w:rPr>
          <w:rFonts w:hint="eastAsia"/>
          <w:color w:val="000000"/>
          <w:sz w:val="24"/>
          <w:highlight w:val="none"/>
          <w:lang w:eastAsia="zh-CN"/>
        </w:rPr>
        <w:t xml:space="preserve">：</w:t>
      </w:r>
      <w:r>
        <w:rPr>
          <w:color w:val="000000"/>
          <w:sz w:val="24"/>
          <w:highlight w:val="none"/>
        </w:rPr>
        <w:t xml:space="preserve">中小企业参加政府采购活动，应当出具此格式文件。《中小企业声明函》由参加政府采购活动的供应商出具。</w:t>
      </w:r>
      <w:r>
        <w:rPr>
          <w:color w:val="000000"/>
          <w:sz w:val="24"/>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t xml:space="preserve">（</w:t>
      </w:r>
      <w:r>
        <w:rPr>
          <w:rFonts w:hint="eastAsia"/>
          <w:color w:val="000000"/>
          <w:sz w:val="24"/>
          <w:highlight w:val="none"/>
          <w:lang w:val="en-US" w:eastAsia="zh-CN"/>
        </w:rPr>
        <w:t xml:space="preserve">3</w:t>
      </w:r>
      <w:r>
        <w:rPr>
          <w:color w:val="000000"/>
          <w:sz w:val="24"/>
          <w:highlight w:val="none"/>
        </w:rPr>
        <w:t xml:space="preserve">）</w:t>
      </w:r>
      <w:r>
        <w:rPr>
          <w:rFonts w:hint="eastAsia"/>
          <w:color w:val="000000"/>
          <w:sz w:val="24"/>
          <w:highlight w:val="none"/>
        </w:rPr>
        <w:t xml:space="preserve">中小企业认定标准以《关于印发中小企业划型标准规定的通知》（工信部联企业〔2011〕300号）文件规定为准。</w:t>
      </w:r>
      <w:r>
        <w:rPr>
          <w:color w:val="000000"/>
          <w:sz w:val="24"/>
          <w:highlight w:val="none"/>
        </w:rPr>
      </w:r>
      <w:r/>
    </w:p>
    <w:p>
      <w:pPr>
        <w:pStyle w:val="1127"/>
        <w:spacing w:line="360" w:lineRule="auto"/>
        <w:tabs>
          <w:tab w:val="left" w:pos="5580" w:leader="none"/>
        </w:tabs>
        <w:rPr>
          <w:rFonts w:hint="eastAsia"/>
          <w:color w:val="000000"/>
          <w:sz w:val="24"/>
          <w:highlight w:val="none"/>
        </w:rPr>
        <w:outlineLvl w:val="9"/>
      </w:pPr>
      <w:r>
        <w:rPr>
          <w:rFonts w:hint="eastAsia"/>
          <w:color w:val="000000"/>
          <w:sz w:val="24"/>
          <w:highlight w:val="none"/>
          <w:lang w:eastAsia="zh-CN"/>
        </w:rPr>
        <w:t xml:space="preserve">（</w:t>
      </w:r>
      <w:r>
        <w:rPr>
          <w:rFonts w:hint="eastAsia"/>
          <w:color w:val="000000"/>
          <w:sz w:val="24"/>
          <w:highlight w:val="none"/>
          <w:lang w:val="en-US" w:eastAsia="zh-CN"/>
        </w:rPr>
        <w:t xml:space="preserve">4</w:t>
      </w:r>
      <w:r>
        <w:rPr>
          <w:rFonts w:hint="eastAsia"/>
          <w:color w:val="000000"/>
          <w:sz w:val="24"/>
          <w:highlight w:val="none"/>
          <w:lang w:eastAsia="zh-CN"/>
        </w:rPr>
        <w:t xml:space="preserve">）</w:t>
      </w:r>
      <w:r>
        <w:rPr>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000000"/>
          <w:sz w:val="24"/>
          <w:highlight w:val="none"/>
        </w:rPr>
        <w:t xml:space="preserve">（工信部网址：https</w:t>
      </w:r>
      <w:r>
        <w:rPr>
          <w:rFonts w:hint="eastAsia"/>
          <w:color w:val="000000"/>
          <w:sz w:val="24"/>
          <w:highlight w:val="none"/>
          <w:lang w:eastAsia="zh-CN"/>
        </w:rPr>
        <w:t xml:space="preserve">：</w:t>
      </w:r>
      <w:r>
        <w:rPr>
          <w:rFonts w:hint="eastAsia"/>
          <w:color w:val="000000"/>
          <w:sz w:val="24"/>
          <w:highlight w:val="none"/>
        </w:rPr>
        <w:t xml:space="preserve">//baosong.miit.gov.cn/ScaleTest）</w:t>
      </w:r>
      <w:r>
        <w:rPr>
          <w:rFonts w:hint="eastAsia"/>
          <w:color w:val="000000"/>
          <w:sz w:val="24"/>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r>
      <w:r/>
    </w:p>
    <w:p>
      <w:pPr>
        <w:pStyle w:val="1127"/>
        <w:jc w:val="center"/>
        <w:spacing w:before="240" w:after="240" w:line="360" w:lineRule="auto"/>
        <w:rPr>
          <w:rFonts w:ascii="方正小标宋简体" w:hAnsi="宋体" w:eastAsia="方正小标宋简体" w:cs="Times New Roman"/>
          <w:color w:val="000000"/>
          <w:sz w:val="44"/>
          <w:szCs w:val="44"/>
          <w:highlight w:val="none"/>
        </w:rPr>
        <w:outlineLvl w:val="9"/>
      </w:pPr>
      <w:r>
        <w:rPr>
          <w:color w:val="000000"/>
          <w:sz w:val="24"/>
          <w:highlight w:val="none"/>
        </w:rPr>
        <w:br w:type="page" w:clear="all"/>
      </w: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s="Times New Roman"/>
          <w:color w:val="000000"/>
          <w:sz w:val="44"/>
          <w:szCs w:val="44"/>
          <w:highlight w:val="none"/>
        </w:rPr>
      </w:r>
      <w:r/>
    </w:p>
    <w:p>
      <w:pPr>
        <w:pStyle w:val="112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w:t>
      </w:r>
      <w:r>
        <w:rPr>
          <w:color w:val="000000"/>
          <w:spacing w:val="6"/>
          <w:sz w:val="24"/>
          <w:highlight w:val="none"/>
          <w:u w:val="single"/>
        </w:rPr>
        <w:t xml:space="preserve">（</w:t>
      </w:r>
      <w:r>
        <w:rPr>
          <w:rFonts w:hint="eastAsia"/>
          <w:color w:val="000000"/>
          <w:spacing w:val="6"/>
          <w:sz w:val="24"/>
          <w:highlight w:val="none"/>
          <w:u w:val="single"/>
        </w:rPr>
        <w:t xml:space="preserve">此处填</w:t>
      </w:r>
      <w:r>
        <w:rPr>
          <w:rFonts w:hint="eastAsia"/>
          <w:color w:val="000000"/>
          <w:spacing w:val="6"/>
          <w:sz w:val="24"/>
          <w:highlight w:val="none"/>
          <w:u w:val="single"/>
          <w:lang w:val="en-US" w:eastAsia="zh-CN"/>
        </w:rPr>
        <w:t xml:space="preserve">供应商</w:t>
      </w:r>
      <w:r>
        <w:rPr>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江苏尚阳工程管理有限公司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1127"/>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112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27"/>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2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1127"/>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12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spacing w:line="57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w:t>
      </w:r>
      <w:r>
        <w:rPr>
          <w:rFonts w:hint="eastAsia" w:ascii="宋体" w:hAnsi="宋体" w:cs="宋体"/>
          <w:color w:val="000000"/>
          <w:sz w:val="24"/>
          <w:szCs w:val="24"/>
          <w:highlight w:val="none"/>
          <w:lang w:val="en-US" w:eastAsia="zh-CN"/>
        </w:rPr>
        <w:t xml:space="preserve">SYZB</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如XXX</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1127"/>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w:t>
      </w:r>
      <w:r>
        <w:rPr>
          <w:rFonts w:hint="eastAsia" w:ascii="宋体" w:hAnsi="宋体" w:eastAsia="宋体" w:cs="宋体"/>
          <w:color w:val="000000"/>
          <w:sz w:val="24"/>
          <w:szCs w:val="24"/>
          <w:highlight w:val="none"/>
          <w:lang w:eastAsia="zh-CN"/>
        </w:rPr>
        <w:t xml:space="preserve">磋商响应文件</w:t>
      </w:r>
      <w:r>
        <w:rPr>
          <w:rFonts w:hint="eastAsia" w:ascii="宋体" w:hAnsi="宋体" w:eastAsia="宋体" w:cs="宋体"/>
          <w:color w:val="000000"/>
          <w:sz w:val="24"/>
          <w:szCs w:val="24"/>
          <w:highlight w:val="none"/>
        </w:rPr>
        <w:t xml:space="preserve">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39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1127"/>
        <w:spacing w:line="360" w:lineRule="auto"/>
        <w:tabs>
          <w:tab w:val="left" w:pos="5580" w:leader="none"/>
        </w:tabs>
        <w:rPr>
          <w:rFonts w:ascii="Times New Roman" w:hAnsi="Times New Roman" w:eastAsia="宋体" w:cs="Times New Roman"/>
          <w:color w:val="000000"/>
          <w:sz w:val="24"/>
          <w:highlight w:val="none"/>
        </w:rPr>
        <w:outlineLvl w:val="9"/>
      </w:pPr>
      <w:r>
        <w:rPr>
          <w:rFonts w:ascii="Times New Roman" w:hAnsi="Times New Roman" w:eastAsia="宋体" w:cs="Times New Roman"/>
          <w:color w:val="000000"/>
          <w:sz w:val="24"/>
          <w:highlight w:val="none"/>
        </w:rPr>
      </w:r>
      <w:r/>
    </w:p>
    <w:p>
      <w:pPr>
        <w:pStyle w:val="1127"/>
        <w:jc w:val="center"/>
        <w:spacing w:before="240" w:after="240" w:line="360" w:lineRule="auto"/>
        <w:rPr>
          <w:rFonts w:hint="eastAsia"/>
          <w:color w:val="000000"/>
          <w:sz w:val="24"/>
          <w:szCs w:val="20"/>
          <w:highlight w:val="none"/>
        </w:rPr>
        <w:outlineLvl w:val="9"/>
      </w:pPr>
      <w:r>
        <w:rPr>
          <w:rFonts w:hint="eastAsia"/>
          <w:color w:val="000000"/>
          <w:sz w:val="24"/>
          <w:szCs w:val="20"/>
          <w:highlight w:val="none"/>
        </w:rPr>
      </w:r>
      <w:r/>
    </w:p>
    <w:p>
      <w:pPr>
        <w:pStyle w:val="1127"/>
        <w:jc w:val="center"/>
        <w:spacing w:before="240" w:after="240" w:line="360" w:lineRule="auto"/>
        <w:rPr>
          <w:color w:val="000000"/>
          <w:sz w:val="24"/>
          <w:szCs w:val="20"/>
          <w:highlight w:val="none"/>
        </w:rPr>
        <w:sectPr>
          <w:headerReference w:type="even" r:id="rId12"/>
          <w:headerReference w:type="first" r:id="rId13"/>
          <w:footerReference w:type="even" r:id="rId21"/>
          <w:footerReference w:type="first" r:id="rId22"/>
          <w:footnotePr/>
          <w:endnotePr/>
          <w:type w:val="nextPage"/>
          <w:pgSz w:w="11907" w:h="16840" w:orient="portrait"/>
          <w:pgMar w:top="1440" w:right="1304" w:bottom="1440" w:left="1304" w:header="851" w:footer="851" w:gutter="0"/>
          <w:cols w:num="1" w:sep="0" w:space="1701" w:equalWidth="1"/>
          <w:docGrid w:linePitch="360"/>
        </w:sectPr>
        <w:outlineLvl w:val="9"/>
      </w:pPr>
      <w:r>
        <w:rPr>
          <w:color w:val="000000"/>
          <w:sz w:val="24"/>
          <w:szCs w:val="20"/>
          <w:highlight w:val="none"/>
        </w:rPr>
      </w:r>
      <w:r/>
    </w:p>
    <w:p>
      <w:pPr>
        <w:pStyle w:val="1127"/>
        <w:jc w:val="center"/>
        <w:rPr>
          <w:b/>
          <w:color w:val="000000"/>
          <w:sz w:val="36"/>
          <w:szCs w:val="36"/>
          <w:highlight w:val="none"/>
        </w:rPr>
        <w:outlineLvl w:val="9"/>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127"/>
        <w:jc w:val="center"/>
        <w:rPr>
          <w:color w:val="000000"/>
          <w:sz w:val="36"/>
          <w:szCs w:val="36"/>
          <w:highlight w:val="none"/>
        </w:rPr>
        <w:outlineLvl w:val="9"/>
      </w:pPr>
      <w:r>
        <w:rPr>
          <w:color w:val="000000"/>
          <w:sz w:val="36"/>
          <w:szCs w:val="36"/>
          <w:highlight w:val="none"/>
        </w:rPr>
      </w:r>
      <w:r/>
    </w:p>
    <w:p>
      <w:pPr>
        <w:pStyle w:val="1127"/>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127"/>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127"/>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lang w:eastAsia="zh-CN"/>
        </w:rPr>
        <w:t xml:space="preserve">，</w:t>
      </w:r>
      <w:r>
        <w:rPr>
          <w:color w:val="000000"/>
          <w:spacing w:val="6"/>
          <w:sz w:val="24"/>
          <w:highlight w:val="none"/>
        </w:rPr>
        <w:t xml:space="preserve">由本单位提供服务。</w:t>
      </w:r>
      <w:r>
        <w:rPr>
          <w:color w:val="000000"/>
          <w:spacing w:val="6"/>
          <w:sz w:val="24"/>
          <w:highlight w:val="none"/>
        </w:rPr>
      </w:r>
      <w:r/>
    </w:p>
    <w:p>
      <w:pPr>
        <w:pStyle w:val="1127"/>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127"/>
        <w:ind w:firstLine="504"/>
        <w:spacing w:line="588" w:lineRule="exact"/>
        <w:rPr>
          <w:color w:val="000000"/>
          <w:spacing w:val="6"/>
          <w:sz w:val="24"/>
          <w:highlight w:val="none"/>
        </w:rPr>
        <w:outlineLvl w:val="9"/>
      </w:pPr>
      <w:r>
        <w:rPr>
          <w:color w:val="000000"/>
          <w:spacing w:val="6"/>
          <w:sz w:val="24"/>
          <w:highlight w:val="none"/>
        </w:rPr>
      </w:r>
      <w:r/>
    </w:p>
    <w:p>
      <w:pPr>
        <w:pStyle w:val="1127"/>
        <w:ind w:firstLine="504"/>
        <w:spacing w:line="588" w:lineRule="exact"/>
        <w:rPr>
          <w:color w:val="000000"/>
          <w:spacing w:val="6"/>
          <w:sz w:val="24"/>
          <w:highlight w:val="none"/>
        </w:rPr>
        <w:outlineLvl w:val="9"/>
      </w:pPr>
      <w:r>
        <w:rPr>
          <w:color w:val="000000"/>
          <w:spacing w:val="6"/>
          <w:sz w:val="24"/>
          <w:highlight w:val="none"/>
        </w:rPr>
      </w:r>
      <w:r/>
    </w:p>
    <w:p>
      <w:pPr>
        <w:pStyle w:val="1127"/>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单位名称（盖章）：</w:t>
      </w:r>
      <w:r>
        <w:rPr>
          <w:color w:val="000000"/>
          <w:spacing w:val="6"/>
          <w:sz w:val="24"/>
          <w:highlight w:val="none"/>
        </w:rPr>
      </w:r>
      <w:r/>
    </w:p>
    <w:p>
      <w:pPr>
        <w:pStyle w:val="1127"/>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1127"/>
        <w:spacing w:line="360" w:lineRule="auto"/>
        <w:rPr>
          <w:color w:val="000000"/>
          <w:sz w:val="24"/>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3</w:t>
      </w:r>
      <w:r>
        <w:rPr>
          <w:color w:val="000000"/>
          <w:sz w:val="24"/>
          <w:szCs w:val="20"/>
          <w:highlight w:val="none"/>
        </w:rPr>
        <w:t xml:space="preserve"> </w:t>
      </w:r>
      <w:r>
        <w:rPr>
          <w:color w:val="000000"/>
          <w:sz w:val="24"/>
          <w:highlight w:val="none"/>
        </w:rPr>
        <w:t xml:space="preserve">本项目的特定资格要求</w:t>
      </w:r>
      <w:r>
        <w:rPr>
          <w:color w:val="000000"/>
          <w:sz w:val="24"/>
          <w:highlight w:val="none"/>
        </w:rPr>
      </w:r>
      <w:r/>
    </w:p>
    <w:p>
      <w:pPr>
        <w:pStyle w:val="1127"/>
        <w:jc w:val="left"/>
        <w:spacing w:line="360" w:lineRule="auto"/>
        <w:widowControl/>
        <w:rPr>
          <w:rFonts w:hint="eastAsia" w:eastAsia="宋体"/>
          <w:color w:val="000000"/>
          <w:sz w:val="24"/>
          <w:highlight w:val="none"/>
          <w:lang w:val="en-US" w:eastAsia="zh-CN"/>
        </w:rPr>
      </w:pPr>
      <w:r>
        <w:rPr>
          <w:rFonts w:hint="eastAsia"/>
          <w:color w:val="000000"/>
          <w:sz w:val="24"/>
          <w:szCs w:val="20"/>
          <w:highlight w:val="none"/>
          <w:lang w:val="en-US" w:eastAsia="zh-CN"/>
        </w:rPr>
        <w:t xml:space="preserve">3</w:t>
      </w:r>
      <w:r>
        <w:rPr>
          <w:color w:val="000000"/>
          <w:sz w:val="24"/>
          <w:szCs w:val="20"/>
          <w:highlight w:val="none"/>
        </w:rPr>
        <w:t xml:space="preserve">-</w:t>
      </w:r>
      <w:r>
        <w:rPr>
          <w:rFonts w:hint="eastAsia"/>
          <w:color w:val="000000"/>
          <w:sz w:val="24"/>
          <w:szCs w:val="20"/>
          <w:highlight w:val="none"/>
        </w:rPr>
        <w:t xml:space="preserve">1</w:t>
      </w:r>
      <w:r>
        <w:rPr>
          <w:color w:val="000000"/>
          <w:sz w:val="24"/>
          <w:szCs w:val="20"/>
          <w:highlight w:val="none"/>
        </w:rPr>
        <w:t xml:space="preserve">其他特定资格要求</w:t>
      </w:r>
      <w:r>
        <w:rPr>
          <w:rFonts w:hint="eastAsia" w:eastAsia="宋体"/>
          <w:color w:val="000000"/>
          <w:sz w:val="24"/>
          <w:highlight w:val="none"/>
          <w:lang w:val="en-US" w:eastAsia="zh-CN"/>
        </w:rPr>
      </w:r>
      <w:r/>
    </w:p>
    <w:p>
      <w:pPr>
        <w:pStyle w:val="1127"/>
        <w:spacing w:line="360" w:lineRule="auto"/>
        <w:rPr>
          <w:color w:val="000000"/>
          <w:sz w:val="24"/>
          <w:szCs w:val="20"/>
          <w:highlight w:val="none"/>
        </w:rPr>
        <w:outlineLvl w:val="9"/>
      </w:pPr>
      <w:r>
        <w:rPr>
          <w:rFonts w:hint="eastAsia"/>
          <w:color w:val="000000"/>
          <w:sz w:val="24"/>
          <w:highlight w:val="none"/>
          <w:lang w:val="en-US" w:eastAsia="zh-CN"/>
        </w:rPr>
        <w:t xml:space="preserve">  供应商具有有效的公安部门审批颁发的有效的《保安服务许可证》</w:t>
      </w:r>
      <w:r>
        <w:rPr>
          <w:color w:val="000000"/>
          <w:sz w:val="24"/>
          <w:highlight w:val="none"/>
        </w:rPr>
        <w:br w:type="page" w:clear="all"/>
      </w:r>
      <w:bookmarkStart w:id="614" w:name="_Toc480942350"/>
      <w:r/>
      <w:bookmarkStart w:id="615" w:name="_Toc520356218"/>
      <w:r/>
      <w:bookmarkStart w:id="616" w:name="_Toc150480795"/>
      <w:r/>
      <w:bookmarkStart w:id="617" w:name="_Toc305158825"/>
      <w:r/>
      <w:bookmarkStart w:id="618" w:name="_Toc265228395"/>
      <w:r/>
      <w:bookmarkStart w:id="619" w:name="_Toc150774762"/>
      <w:r/>
      <w:bookmarkStart w:id="620" w:name="_Toc142311059"/>
      <w:r/>
      <w:bookmarkStart w:id="621" w:name="_Ref467988705"/>
      <w:r/>
      <w:bookmarkStart w:id="622" w:name="_Toc226309801"/>
      <w:r/>
      <w:bookmarkStart w:id="623" w:name="_Toc226337253"/>
      <w:r/>
      <w:bookmarkStart w:id="624" w:name="_Toc195842922"/>
      <w:r/>
      <w:bookmarkStart w:id="625" w:name="_Toc305158899"/>
      <w:r/>
      <w:bookmarkStart w:id="626" w:name="_Toc127151557"/>
      <w:r/>
      <w:bookmarkStart w:id="627" w:name="_Toc264969247"/>
      <w:r/>
      <w:bookmarkStart w:id="628" w:name="_Toc226965830"/>
      <w:r/>
      <w:bookmarkStart w:id="629" w:name="_Toc226965747"/>
      <w:r>
        <w:rPr>
          <w:rFonts w:hint="eastAsia"/>
          <w:color w:val="000000"/>
          <w:sz w:val="24"/>
          <w:highlight w:val="none"/>
          <w:lang w:val="en-US" w:eastAsia="zh-CN"/>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27"/>
        <w:jc w:val="center"/>
        <w:spacing w:line="360" w:lineRule="auto"/>
        <w:rPr>
          <w:b/>
          <w:color w:val="000000"/>
          <w:sz w:val="36"/>
          <w:szCs w:val="36"/>
          <w:highlight w:val="none"/>
        </w:rPr>
        <w:outlineLvl w:val="9"/>
      </w:pPr>
      <w:r>
        <w:rPr>
          <w:rFonts w:hint="eastAsia"/>
          <w:b/>
          <w:color w:val="000000"/>
          <w:sz w:val="36"/>
          <w:szCs w:val="36"/>
          <w:highlight w:val="none"/>
        </w:rPr>
        <w:t xml:space="preserve">响应函</w:t>
      </w:r>
      <w:r>
        <w:rPr>
          <w:b/>
          <w:color w:val="000000"/>
          <w:sz w:val="36"/>
          <w:szCs w:val="36"/>
          <w:highlight w:val="none"/>
        </w:rPr>
      </w:r>
      <w:r/>
    </w:p>
    <w:p>
      <w:pPr>
        <w:pStyle w:val="1127"/>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27"/>
        <w:spacing w:line="360" w:lineRule="auto"/>
        <w:tabs>
          <w:tab w:val="left" w:pos="5580" w:leader="none"/>
        </w:tabs>
        <w:rPr>
          <w:color w:val="000000"/>
          <w:sz w:val="24"/>
          <w:szCs w:val="20"/>
          <w:highlight w:val="none"/>
        </w:rPr>
        <w:outlineLvl w:val="9"/>
      </w:pPr>
      <w:r>
        <w:rPr>
          <w:color w:val="000000"/>
          <w:sz w:val="24"/>
          <w:szCs w:val="20"/>
          <w:highlight w:val="none"/>
        </w:rPr>
      </w:r>
      <w:r/>
    </w:p>
    <w:p>
      <w:pPr>
        <w:pStyle w:val="1127"/>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127"/>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127"/>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lang w:eastAsia="zh-CN"/>
        </w:rPr>
        <w:t xml:space="preserve">天</w:t>
      </w:r>
      <w:r>
        <w:rPr>
          <w:color w:val="000000"/>
          <w:sz w:val="24"/>
          <w:szCs w:val="20"/>
          <w:highlight w:val="none"/>
        </w:rPr>
        <w:t xml:space="preserve">。</w:t>
      </w:r>
      <w:r>
        <w:rPr>
          <w:color w:val="000000"/>
          <w:sz w:val="24"/>
          <w:szCs w:val="20"/>
          <w:highlight w:val="none"/>
        </w:rPr>
      </w:r>
      <w:r/>
    </w:p>
    <w:p>
      <w:pPr>
        <w:pStyle w:val="1127"/>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127"/>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27"/>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w:t>
      </w:r>
      <w:r>
        <w:rPr>
          <w:rFonts w:hint="eastAsia"/>
          <w:color w:val="000000"/>
          <w:sz w:val="24"/>
          <w:szCs w:val="20"/>
          <w:highlight w:val="none"/>
          <w:lang w:val="en-US" w:eastAsia="zh-CN"/>
        </w:rPr>
        <w:t xml:space="preserve">成交</w:t>
      </w:r>
      <w:r>
        <w:rPr>
          <w:color w:val="000000"/>
          <w:sz w:val="24"/>
          <w:szCs w:val="20"/>
          <w:highlight w:val="none"/>
        </w:rPr>
        <w:t xml:space="preserve">，我方将在法律规定的期限内与你方签订合同，并在合同约定的期限内完成合同规定的全部义务。</w:t>
      </w:r>
      <w:r>
        <w:rPr>
          <w:color w:val="000000"/>
          <w:sz w:val="24"/>
          <w:highlight w:val="none"/>
        </w:rPr>
      </w:r>
      <w:r/>
    </w:p>
    <w:p>
      <w:pPr>
        <w:pStyle w:val="1127"/>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27"/>
        <w:ind w:firstLine="480"/>
        <w:spacing w:line="360" w:lineRule="auto"/>
        <w:rPr>
          <w:color w:val="000000"/>
          <w:sz w:val="24"/>
          <w:highlight w:val="none"/>
        </w:rPr>
        <w:outlineLvl w:val="9"/>
      </w:pPr>
      <w:r>
        <w:rPr>
          <w:color w:val="000000"/>
          <w:sz w:val="24"/>
          <w:highlight w:val="none"/>
        </w:rPr>
        <w:t xml:space="preserve">与本响应有关的一切正式往来信函请寄：</w:t>
      </w:r>
      <w:r>
        <w:rPr>
          <w:color w:val="000000"/>
          <w:sz w:val="24"/>
          <w:highlight w:val="none"/>
        </w:rPr>
      </w:r>
      <w:r/>
    </w:p>
    <w:p>
      <w:pPr>
        <w:pStyle w:val="1127"/>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1127"/>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1127"/>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27"/>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1127"/>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供应商名称（加盖公章） ___________</w:t>
      </w:r>
      <w:r>
        <w:rPr>
          <w:color w:val="000000"/>
          <w:sz w:val="24"/>
          <w:szCs w:val="20"/>
          <w:highlight w:val="none"/>
        </w:rPr>
      </w:r>
      <w:r/>
    </w:p>
    <w:p>
      <w:pPr>
        <w:pStyle w:val="1127"/>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1127"/>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1127"/>
        <w:jc w:val="left"/>
        <w:widowControl/>
        <w:rPr>
          <w:rFonts w:hint="eastAsia"/>
          <w:color w:val="000000"/>
          <w:sz w:val="24"/>
          <w:highlight w:val="none"/>
        </w:rPr>
        <w:outlineLvl w:val="9"/>
      </w:pPr>
      <w:r/>
      <w:bookmarkStart w:id="630" w:name="_Hlt520356243"/>
      <w:r/>
      <w:bookmarkEnd w:id="630"/>
      <w:r/>
      <w:bookmarkStart w:id="631" w:name="_Hlt520355938"/>
      <w:r/>
      <w:bookmarkEnd w:id="631"/>
      <w:r>
        <w:rPr>
          <w:color w:val="000000"/>
          <w:sz w:val="24"/>
          <w:highlight w:val="none"/>
        </w:rPr>
        <w:br w:type="page" w:clear="all"/>
      </w:r>
      <w:r>
        <w:rPr>
          <w:rFonts w:hint="eastAsia"/>
          <w:color w:val="000000"/>
          <w:sz w:val="24"/>
          <w:highlight w:val="none"/>
          <w:lang w:val="en-US" w:eastAsia="zh-CN"/>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127"/>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1127"/>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127"/>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27"/>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地址:</w:t>
      </w:r>
      <w:r>
        <w:rPr>
          <w:rFonts w:ascii="宋体" w:hAnsi="宋体"/>
          <w:color w:val="000000"/>
          <w:sz w:val="24"/>
          <w:highlight w:val="none"/>
        </w:rPr>
      </w:r>
      <w:r/>
    </w:p>
    <w:p>
      <w:pPr>
        <w:pStyle w:val="1127"/>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27"/>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供应商</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磋商响应</w:t>
      </w:r>
      <w:r>
        <w:rPr>
          <w:rFonts w:hint="eastAsia" w:ascii="宋体" w:hAnsi="宋体"/>
          <w:color w:val="000000"/>
          <w:sz w:val="24"/>
          <w:highlight w:val="none"/>
        </w:rPr>
        <w:t xml:space="preserve">文件、进行合同谈判、签署合同和处理与之有关的一切事务。</w:t>
      </w:r>
      <w:r>
        <w:rPr>
          <w:rFonts w:ascii="宋体" w:hAnsi="宋体"/>
          <w:color w:val="000000"/>
          <w:sz w:val="24"/>
          <w:highlight w:val="none"/>
        </w:rPr>
      </w:r>
      <w:r/>
    </w:p>
    <w:p>
      <w:pPr>
        <w:pStyle w:val="1127"/>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27"/>
        <w:spacing w:line="560" w:lineRule="exact"/>
        <w:rPr>
          <w:rFonts w:ascii="宋体" w:hAnsi="宋体"/>
          <w:color w:val="000000"/>
          <w:sz w:val="24"/>
          <w:highlight w:val="none"/>
        </w:rPr>
        <w:outlineLvl w:val="9"/>
      </w:pPr>
      <w:r>
        <w:rPr>
          <w:rFonts w:ascii="宋体" w:hAnsi="宋体"/>
          <w:color w:val="000000"/>
          <w:sz w:val="24"/>
          <w:highlight w:val="none"/>
        </w:rPr>
      </w:r>
      <w:r/>
    </w:p>
    <w:p>
      <w:pPr>
        <w:pStyle w:val="1163"/>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7"/>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127"/>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127"/>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1127"/>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127"/>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127"/>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1127"/>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：（加盖公章）</w:t>
      </w:r>
      <w:r>
        <w:rPr>
          <w:rFonts w:ascii="宋体" w:hAnsi="宋体"/>
          <w:color w:val="000000"/>
          <w:sz w:val="24"/>
          <w:highlight w:val="none"/>
        </w:rPr>
      </w:r>
      <w:r/>
    </w:p>
    <w:p>
      <w:pPr>
        <w:pStyle w:val="1127"/>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27"/>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27"/>
        <w:jc w:val="left"/>
        <w:widowControl/>
        <w:rPr>
          <w:rFonts w:hint="eastAsia"/>
          <w:color w:val="000000"/>
          <w:sz w:val="24"/>
          <w:highlight w:val="none"/>
        </w:rPr>
        <w:outlineLvl w:val="9"/>
      </w:pPr>
      <w:r>
        <w:rPr>
          <w:rFonts w:hint="eastAsia"/>
          <w:color w:val="000000"/>
          <w:sz w:val="24"/>
          <w:highlight w:val="none"/>
        </w:rPr>
      </w:r>
      <w:r/>
    </w:p>
    <w:p>
      <w:pPr>
        <w:pStyle w:val="1127"/>
        <w:jc w:val="left"/>
        <w:widowControl/>
        <w:rPr>
          <w:rFonts w:hint="eastAsia"/>
          <w:color w:val="000000"/>
          <w:sz w:val="24"/>
          <w:highlight w:val="none"/>
        </w:rPr>
        <w:outlineLvl w:val="9"/>
      </w:pPr>
      <w:r>
        <w:rPr>
          <w:rFonts w:hint="eastAsia"/>
          <w:color w:val="000000"/>
          <w:sz w:val="24"/>
          <w:highlight w:val="none"/>
        </w:rPr>
      </w:r>
      <w:r/>
    </w:p>
    <w:p>
      <w:pPr>
        <w:pStyle w:val="1127"/>
        <w:jc w:val="left"/>
        <w:widowControl/>
        <w:rPr>
          <w:rFonts w:hint="eastAsia"/>
          <w:color w:val="000000"/>
          <w:sz w:val="24"/>
          <w:highlight w:val="none"/>
        </w:rPr>
        <w:outlineLvl w:val="9"/>
      </w:pPr>
      <w:r>
        <w:rPr>
          <w:rFonts w:hint="eastAsia"/>
          <w:color w:val="000000"/>
          <w:sz w:val="24"/>
          <w:highlight w:val="none"/>
        </w:rPr>
      </w:r>
      <w:r/>
    </w:p>
    <w:p>
      <w:pPr>
        <w:pStyle w:val="1127"/>
        <w:jc w:val="left"/>
        <w:spacing w:line="360" w:lineRule="auto"/>
        <w:tabs>
          <w:tab w:val="left" w:pos="5580" w:leader="none"/>
        </w:tabs>
        <w:rPr>
          <w:rFonts w:ascii="宋体" w:hAnsi="宋体"/>
          <w:color w:val="000000"/>
          <w:sz w:val="24"/>
          <w:szCs w:val="20"/>
          <w:highlight w:val="none"/>
        </w:rPr>
        <w:outlineLvl w:val="9"/>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27"/>
        <w:jc w:val="left"/>
        <w:spacing w:line="360" w:lineRule="auto"/>
        <w:tabs>
          <w:tab w:val="left" w:pos="5580" w:leader="none"/>
        </w:tabs>
        <w:rPr>
          <w:rFonts w:hint="eastAsia" w:ascii="宋体" w:hAnsi="宋体"/>
          <w:color w:val="000000"/>
          <w:sz w:val="24"/>
          <w:szCs w:val="20"/>
          <w:highlight w:val="none"/>
        </w:rPr>
        <w:outlineLvl w:val="9"/>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lang w:eastAsia="zh-CN"/>
        </w:rPr>
        <w:t xml:space="preserve">竞争性磋商</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lang w:eastAsia="zh-CN"/>
        </w:rPr>
        <w:t xml:space="preserve">磋商</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163"/>
        <w:tabs>
          <w:tab w:val="left" w:pos="567" w:leader="none"/>
        </w:tabs>
        <w:rPr>
          <w:color w:val="000000"/>
          <w:highlight w:val="none"/>
        </w:rPr>
        <w:outlineLvl w:val="9"/>
      </w:pPr>
      <w:r>
        <w:rPr>
          <w:color w:val="000000"/>
          <w:highlight w:val="none"/>
        </w:rPr>
      </w:r>
      <w:r/>
    </w:p>
    <w:p>
      <w:pPr>
        <w:pStyle w:val="1127"/>
        <w:jc w:val="left"/>
        <w:widowControl/>
        <w:rPr>
          <w:rFonts w:hint="eastAsia"/>
          <w:color w:val="000000"/>
          <w:sz w:val="24"/>
          <w:highlight w:val="none"/>
        </w:rPr>
        <w:outlineLvl w:val="9"/>
      </w:pPr>
      <w:r>
        <w:rPr>
          <w:rFonts w:hint="eastAsia"/>
          <w:color w:val="000000"/>
          <w:sz w:val="24"/>
          <w:highlight w:val="none"/>
        </w:rPr>
      </w:r>
      <w:r/>
    </w:p>
    <w:p>
      <w:pPr>
        <w:pStyle w:val="1127"/>
        <w:jc w:val="left"/>
        <w:widowControl/>
        <w:rPr>
          <w:rFonts w:hint="eastAsia"/>
          <w:color w:val="000000"/>
          <w:sz w:val="24"/>
          <w:highlight w:val="none"/>
          <w:lang w:val="en-US" w:eastAsia="zh-CN"/>
        </w:rPr>
        <w:outlineLvl w:val="9"/>
      </w:pPr>
      <w:r>
        <w:rPr>
          <w:rFonts w:hint="eastAsia"/>
          <w:color w:val="000000"/>
          <w:sz w:val="24"/>
          <w:highlight w:val="none"/>
          <w:lang w:val="en-US" w:eastAsia="zh-CN"/>
        </w:rPr>
      </w:r>
      <w:r/>
    </w:p>
    <w:p>
      <w:pPr>
        <w:pStyle w:val="1127"/>
        <w:jc w:val="left"/>
        <w:widowControl/>
        <w:rPr>
          <w:rFonts w:hint="eastAsia"/>
          <w:color w:val="000000"/>
          <w:sz w:val="24"/>
          <w:highlight w:val="none"/>
        </w:rPr>
        <w:outlineLvl w:val="9"/>
      </w:pPr>
      <w:r>
        <w:rPr>
          <w:color w:val="000000"/>
          <w:sz w:val="24"/>
          <w:highlight w:val="none"/>
        </w:rPr>
        <w:br w:type="page" w:clear="all"/>
      </w:r>
      <w:r>
        <w:rPr>
          <w:rFonts w:hint="eastAsia"/>
          <w:color w:val="000000"/>
          <w:sz w:val="24"/>
          <w:highlight w:val="none"/>
          <w:lang w:val="en-US" w:eastAsia="zh-CN"/>
        </w:rPr>
        <w:t xml:space="preserve">6</w:t>
      </w:r>
      <w:r>
        <w:rPr>
          <w:rFonts w:hint="eastAsia"/>
          <w:color w:val="000000"/>
          <w:sz w:val="24"/>
          <w:highlight w:val="none"/>
        </w:rPr>
        <w:t xml:space="preserve">  政府采购供应商信用承诺书</w:t>
      </w:r>
      <w:r>
        <w:rPr>
          <w:color w:val="000000"/>
          <w:sz w:val="24"/>
          <w:szCs w:val="20"/>
          <w:highlight w:val="none"/>
        </w:rPr>
        <w:t xml:space="preserve">（实质性格式）</w:t>
      </w:r>
      <w:r>
        <w:rPr>
          <w:rFonts w:hint="eastAsia"/>
          <w:color w:val="000000"/>
          <w:sz w:val="24"/>
          <w:highlight w:val="none"/>
        </w:rPr>
      </w:r>
      <w:r/>
    </w:p>
    <w:p>
      <w:pPr>
        <w:pStyle w:val="1127"/>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1127"/>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127"/>
        <w:ind w:firstLine="640"/>
        <w:rPr>
          <w:color w:val="000000"/>
          <w:highlight w:val="none"/>
        </w:rPr>
        <w:outlineLvl w:val="9"/>
      </w:pPr>
      <w:r>
        <w:rPr>
          <w:color w:val="000000"/>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olor w:val="000000"/>
          <w:sz w:val="24"/>
          <w:highlight w:val="none"/>
          <w:lang w:val="en-US" w:eastAsia="zh-CN"/>
        </w:rPr>
        <w:t xml:space="preserve">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27"/>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35"/>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1127"/>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127"/>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报价一览表</w:t>
      </w:r>
      <w:r>
        <w:rPr>
          <w:color w:val="000000"/>
          <w:sz w:val="24"/>
          <w:szCs w:val="20"/>
          <w:highlight w:val="none"/>
        </w:rPr>
      </w:r>
      <w:r/>
    </w:p>
    <w:p>
      <w:pPr>
        <w:pStyle w:val="1127"/>
        <w:jc w:val="center"/>
        <w:rPr>
          <w:b/>
          <w:color w:val="000000"/>
          <w:sz w:val="36"/>
          <w:szCs w:val="36"/>
          <w:highlight w:val="none"/>
        </w:rPr>
        <w:outlineLvl w:val="9"/>
      </w:pPr>
      <w:r>
        <w:rPr>
          <w:rFonts w:hint="eastAsia"/>
          <w:b/>
          <w:color w:val="000000"/>
          <w:sz w:val="36"/>
          <w:szCs w:val="36"/>
          <w:highlight w:val="none"/>
        </w:rPr>
        <w:t xml:space="preserve">报价一览表</w:t>
      </w:r>
      <w:r>
        <w:rPr>
          <w:b/>
          <w:color w:val="000000"/>
          <w:sz w:val="36"/>
          <w:szCs w:val="36"/>
          <w:highlight w:val="none"/>
        </w:rPr>
      </w:r>
      <w:r/>
    </w:p>
    <w:p>
      <w:pPr>
        <w:pStyle w:val="1127"/>
        <w:jc w:val="left"/>
        <w:spacing w:line="360" w:lineRule="auto"/>
        <w:tabs>
          <w:tab w:val="left" w:pos="1800" w:leader="none"/>
          <w:tab w:val="left" w:pos="5580" w:leader="none"/>
        </w:tabs>
        <w:rPr>
          <w:color w:val="000000"/>
          <w:sz w:val="24"/>
          <w:highlight w:val="none"/>
        </w:rPr>
        <w:outlineLvl w:val="9"/>
      </w:pPr>
      <w:r>
        <w:rPr>
          <w:color w:val="000000"/>
          <w:sz w:val="24"/>
          <w:highlight w:val="none"/>
        </w:rPr>
      </w:r>
      <w:r/>
    </w:p>
    <w:p>
      <w:pPr>
        <w:pStyle w:val="1127"/>
        <w:ind w:firstLine="24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项目名称：_______________________</w:t>
      </w:r>
      <w:r>
        <w:rPr>
          <w:color w:val="000000"/>
          <w:sz w:val="24"/>
          <w:highlight w:val="none"/>
          <w:u w:val="single"/>
        </w:rPr>
      </w:r>
      <w:r/>
    </w:p>
    <w:p>
      <w:pPr>
        <w:pStyle w:val="1127"/>
        <w:jc w:val="left"/>
        <w:rPr>
          <w:color w:val="000000"/>
          <w:sz w:val="24"/>
          <w:highlight w:val="none"/>
        </w:rPr>
        <w:outlineLvl w:val="9"/>
      </w:pPr>
      <w:r>
        <w:rPr>
          <w:color w:val="000000"/>
          <w:sz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3561"/>
        <w:gridCol w:w="2250"/>
        <w:gridCol w:w="2369"/>
      </w:tblGrid>
      <w:tr>
        <w:trPr>
          <w:trHeight w:val="531"/>
        </w:trPr>
        <w:tc>
          <w:tcPr>
            <w:tcW w:w="902" w:type="dxa"/>
            <w:vAlign w:val="center"/>
            <w:vMerge w:val="restart"/>
            <w:textDirection w:val="lrTb"/>
            <w:noWrap w:val="false"/>
          </w:tcPr>
          <w:p>
            <w:pPr>
              <w:pStyle w:val="1127"/>
              <w:jc w:val="center"/>
              <w:tabs>
                <w:tab w:val="left" w:pos="5580" w:leader="none"/>
              </w:tabs>
              <w:rPr>
                <w:b/>
                <w:color w:val="000000"/>
                <w:sz w:val="24"/>
                <w:highlight w:val="none"/>
              </w:rPr>
              <w:outlineLvl w:val="9"/>
            </w:pPr>
            <w:r>
              <w:rPr>
                <w:rFonts w:hint="eastAsia"/>
                <w:b/>
                <w:color w:val="000000"/>
                <w:sz w:val="24"/>
                <w:highlight w:val="none"/>
              </w:rPr>
              <w:t xml:space="preserve">序号</w:t>
            </w:r>
            <w:r>
              <w:rPr>
                <w:b/>
                <w:color w:val="000000"/>
                <w:sz w:val="24"/>
                <w:highlight w:val="none"/>
              </w:rPr>
            </w:r>
            <w:r/>
          </w:p>
        </w:tc>
        <w:tc>
          <w:tcPr>
            <w:tcW w:w="3561" w:type="dxa"/>
            <w:vAlign w:val="center"/>
            <w:vMerge w:val="restart"/>
            <w:textDirection w:val="lrTb"/>
            <w:noWrap w:val="false"/>
          </w:tcPr>
          <w:p>
            <w:pPr>
              <w:pStyle w:val="1127"/>
              <w:jc w:val="center"/>
              <w:tabs>
                <w:tab w:val="left" w:pos="5580" w:leader="none"/>
              </w:tabs>
              <w:rPr>
                <w:b/>
                <w:color w:val="000000"/>
                <w:sz w:val="24"/>
                <w:highlight w:val="none"/>
              </w:rPr>
              <w:outlineLvl w:val="9"/>
            </w:pPr>
            <w:r>
              <w:rPr>
                <w:rFonts w:hint="eastAsia"/>
                <w:b/>
                <w:color w:val="000000"/>
                <w:sz w:val="24"/>
                <w:highlight w:val="none"/>
              </w:rPr>
              <w:t xml:space="preserve">供应商名称</w:t>
            </w:r>
            <w:r>
              <w:rPr>
                <w:b/>
                <w:color w:val="000000"/>
                <w:sz w:val="24"/>
                <w:highlight w:val="none"/>
              </w:rPr>
            </w:r>
            <w:r/>
          </w:p>
        </w:tc>
        <w:tc>
          <w:tcPr>
            <w:gridSpan w:val="2"/>
            <w:tcW w:w="4619" w:type="dxa"/>
            <w:vAlign w:val="center"/>
            <w:textDirection w:val="lrTb"/>
            <w:noWrap w:val="false"/>
          </w:tcPr>
          <w:p>
            <w:pPr>
              <w:pStyle w:val="1127"/>
              <w:jc w:val="center"/>
              <w:tabs>
                <w:tab w:val="left" w:pos="5580" w:leader="none"/>
              </w:tabs>
              <w:rPr>
                <w:rFonts w:hint="eastAsia" w:eastAsia="宋体"/>
                <w:b/>
                <w:color w:val="000000"/>
                <w:sz w:val="24"/>
                <w:highlight w:val="none"/>
                <w:lang w:eastAsia="zh-CN"/>
              </w:rPr>
              <w:outlineLvl w:val="9"/>
            </w:pPr>
            <w:r>
              <w:rPr>
                <w:rFonts w:hint="eastAsia"/>
                <w:b/>
                <w:color w:val="000000"/>
                <w:sz w:val="24"/>
                <w:highlight w:val="none"/>
              </w:rPr>
              <w:t xml:space="preserve">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人民币：</w:t>
            </w:r>
            <w:r>
              <w:rPr>
                <w:rFonts w:hint="eastAsia"/>
                <w:b/>
                <w:color w:val="000000"/>
                <w:sz w:val="24"/>
                <w:highlight w:val="none"/>
              </w:rPr>
              <w:t xml:space="preserve">（元</w:t>
            </w:r>
            <w:r>
              <w:rPr>
                <w:rFonts w:hint="eastAsia"/>
                <w:b/>
                <w:color w:val="000000"/>
                <w:sz w:val="24"/>
                <w:highlight w:val="none"/>
                <w:lang w:val="en-US" w:eastAsia="zh-CN"/>
              </w:rPr>
              <w:t xml:space="preserve">/三年</w:t>
            </w:r>
            <w:r>
              <w:rPr>
                <w:rFonts w:hint="eastAsia"/>
                <w:b/>
                <w:color w:val="000000"/>
                <w:sz w:val="24"/>
                <w:highlight w:val="none"/>
              </w:rPr>
              <w:t xml:space="preserve">）</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674"/>
        </w:trPr>
        <w:tc>
          <w:tcPr>
            <w:tcW w:w="902" w:type="dxa"/>
            <w:vAlign w:val="center"/>
            <w:vMerge w:val="continue"/>
            <w:textDirection w:val="lrTb"/>
            <w:noWrap w:val="false"/>
          </w:tcPr>
          <w:p>
            <w:pPr>
              <w:pStyle w:val="1127"/>
              <w:jc w:val="left"/>
              <w:widowControl/>
              <w:rPr>
                <w:b/>
                <w:color w:val="000000"/>
                <w:sz w:val="24"/>
                <w:highlight w:val="none"/>
              </w:rPr>
              <w:outlineLvl w:val="9"/>
            </w:pPr>
            <w:r>
              <w:rPr>
                <w:b/>
                <w:color w:val="000000"/>
                <w:sz w:val="24"/>
                <w:highlight w:val="none"/>
              </w:rPr>
            </w:r>
            <w:r/>
          </w:p>
        </w:tc>
        <w:tc>
          <w:tcPr>
            <w:tcW w:w="3561" w:type="dxa"/>
            <w:vAlign w:val="center"/>
            <w:vMerge w:val="continue"/>
            <w:textDirection w:val="lrTb"/>
            <w:noWrap w:val="false"/>
          </w:tcPr>
          <w:p>
            <w:pPr>
              <w:pStyle w:val="1127"/>
              <w:jc w:val="left"/>
              <w:widowControl/>
              <w:rPr>
                <w:b/>
                <w:color w:val="000000"/>
                <w:sz w:val="24"/>
                <w:highlight w:val="none"/>
              </w:rPr>
              <w:outlineLvl w:val="9"/>
            </w:pPr>
            <w:r>
              <w:rPr>
                <w:b/>
                <w:color w:val="000000"/>
                <w:sz w:val="24"/>
                <w:highlight w:val="none"/>
              </w:rPr>
            </w:r>
            <w:r/>
          </w:p>
        </w:tc>
        <w:tc>
          <w:tcPr>
            <w:tcW w:w="2250" w:type="dxa"/>
            <w:vAlign w:val="center"/>
            <w:textDirection w:val="lrTb"/>
            <w:noWrap w:val="false"/>
          </w:tcPr>
          <w:p>
            <w:pPr>
              <w:pStyle w:val="1127"/>
              <w:jc w:val="center"/>
              <w:tabs>
                <w:tab w:val="left" w:pos="5580" w:leader="none"/>
              </w:tabs>
              <w:rPr>
                <w:b/>
                <w:color w:val="000000"/>
                <w:sz w:val="24"/>
                <w:highlight w:val="none"/>
              </w:rPr>
              <w:outlineLvl w:val="9"/>
            </w:pPr>
            <w:r>
              <w:rPr>
                <w:rFonts w:hint="eastAsia"/>
                <w:b/>
                <w:color w:val="000000"/>
                <w:sz w:val="24"/>
                <w:highlight w:val="none"/>
              </w:rPr>
              <w:t xml:space="preserve">大写</w:t>
            </w:r>
            <w:r>
              <w:rPr>
                <w:b/>
                <w:color w:val="000000"/>
                <w:sz w:val="24"/>
                <w:highlight w:val="none"/>
              </w:rPr>
            </w:r>
            <w:r/>
          </w:p>
        </w:tc>
        <w:tc>
          <w:tcPr>
            <w:tcW w:w="2369" w:type="dxa"/>
            <w:vAlign w:val="center"/>
            <w:textDirection w:val="lrTb"/>
            <w:noWrap w:val="false"/>
          </w:tcPr>
          <w:p>
            <w:pPr>
              <w:pStyle w:val="1127"/>
              <w:jc w:val="center"/>
              <w:tabs>
                <w:tab w:val="left" w:pos="5580" w:leader="none"/>
              </w:tabs>
              <w:rPr>
                <w:b/>
                <w:color w:val="000000"/>
                <w:sz w:val="24"/>
                <w:highlight w:val="none"/>
              </w:rPr>
              <w:outlineLvl w:val="9"/>
            </w:pPr>
            <w:r>
              <w:rPr>
                <w:rFonts w:hint="eastAsia"/>
                <w:b/>
                <w:color w:val="000000"/>
                <w:sz w:val="24"/>
                <w:highlight w:val="none"/>
              </w:rPr>
              <w:t xml:space="preserve">小写</w:t>
            </w:r>
            <w:r>
              <w:rPr>
                <w:b/>
                <w:color w:val="000000"/>
                <w:sz w:val="24"/>
                <w:highlight w:val="none"/>
              </w:rPr>
            </w:r>
            <w:r/>
          </w:p>
        </w:tc>
      </w:tr>
      <w:tr>
        <w:trPr>
          <w:trHeight w:val="976"/>
        </w:trPr>
        <w:tc>
          <w:tcPr>
            <w:tcW w:w="902" w:type="dxa"/>
            <w:vAlign w:val="center"/>
            <w:textDirection w:val="lrTb"/>
            <w:noWrap w:val="false"/>
          </w:tcPr>
          <w:p>
            <w:pPr>
              <w:pStyle w:val="1127"/>
              <w:jc w:val="center"/>
              <w:tabs>
                <w:tab w:val="left" w:pos="5580" w:leader="none"/>
              </w:tabs>
              <w:rPr>
                <w:color w:val="000000"/>
                <w:sz w:val="24"/>
                <w:highlight w:val="none"/>
              </w:rPr>
              <w:outlineLvl w:val="9"/>
            </w:pPr>
            <w:r>
              <w:rPr>
                <w:color w:val="000000"/>
                <w:sz w:val="24"/>
                <w:highlight w:val="none"/>
              </w:rPr>
            </w:r>
            <w:r/>
          </w:p>
        </w:tc>
        <w:tc>
          <w:tcPr>
            <w:tcW w:w="3561" w:type="dxa"/>
            <w:vAlign w:val="center"/>
            <w:textDirection w:val="lrTb"/>
            <w:noWrap w:val="false"/>
          </w:tcPr>
          <w:p>
            <w:pPr>
              <w:pStyle w:val="1127"/>
              <w:jc w:val="center"/>
              <w:tabs>
                <w:tab w:val="left" w:pos="5580" w:leader="none"/>
              </w:tabs>
              <w:rPr>
                <w:color w:val="000000"/>
                <w:sz w:val="24"/>
                <w:highlight w:val="none"/>
              </w:rPr>
              <w:outlineLvl w:val="9"/>
            </w:pPr>
            <w:r>
              <w:rPr>
                <w:color w:val="000000"/>
                <w:sz w:val="24"/>
                <w:highlight w:val="none"/>
              </w:rPr>
            </w:r>
            <w:r/>
          </w:p>
        </w:tc>
        <w:tc>
          <w:tcPr>
            <w:tcW w:w="2250" w:type="dxa"/>
            <w:vAlign w:val="center"/>
            <w:textDirection w:val="lrTb"/>
            <w:noWrap w:val="false"/>
          </w:tcPr>
          <w:p>
            <w:pPr>
              <w:pStyle w:val="1127"/>
              <w:jc w:val="center"/>
              <w:tabs>
                <w:tab w:val="left" w:pos="5580" w:leader="none"/>
              </w:tabs>
              <w:rPr>
                <w:color w:val="000000"/>
                <w:sz w:val="24"/>
                <w:highlight w:val="none"/>
              </w:rPr>
              <w:outlineLvl w:val="9"/>
            </w:pPr>
            <w:r>
              <w:rPr>
                <w:color w:val="000000"/>
                <w:sz w:val="24"/>
                <w:highlight w:val="none"/>
              </w:rPr>
            </w:r>
            <w:r/>
          </w:p>
        </w:tc>
        <w:tc>
          <w:tcPr>
            <w:tcW w:w="2369" w:type="dxa"/>
            <w:vAlign w:val="center"/>
            <w:textDirection w:val="lrTb"/>
            <w:noWrap w:val="false"/>
          </w:tcPr>
          <w:p>
            <w:pPr>
              <w:pStyle w:val="1127"/>
              <w:jc w:val="center"/>
              <w:tabs>
                <w:tab w:val="left" w:pos="5580" w:leader="none"/>
              </w:tabs>
              <w:rPr>
                <w:color w:val="000000"/>
                <w:sz w:val="24"/>
                <w:highlight w:val="none"/>
              </w:rPr>
              <w:outlineLvl w:val="9"/>
            </w:pPr>
            <w:r>
              <w:rPr>
                <w:color w:val="000000"/>
                <w:sz w:val="24"/>
                <w:highlight w:val="none"/>
              </w:rPr>
            </w:r>
            <w:r/>
          </w:p>
        </w:tc>
      </w:tr>
    </w:tbl>
    <w:p>
      <w:pPr>
        <w:pStyle w:val="1127"/>
        <w:ind w:left="0" w:right="0"/>
        <w:jc w:val="left"/>
        <w:keepLines w:val="0"/>
        <w:keepNext w:val="0"/>
        <w:pageBreakBefore w:val="0"/>
        <w:spacing w:before="464"/>
        <w:widowControl w:val="off"/>
        <w:rPr>
          <w:color w:val="000000"/>
          <w:sz w:val="24"/>
          <w:szCs w:val="20"/>
          <w:highlight w:val="none"/>
        </w:rPr>
      </w:pPr>
      <w:r>
        <w:rPr>
          <w:rFonts w:hint="eastAsia"/>
          <w:color w:val="000000"/>
          <w:sz w:val="24"/>
          <w:highlight w:val="none"/>
          <w:lang w:val="en-US" w:eastAsia="zh-CN"/>
        </w:rPr>
        <w:t xml:space="preserve">注：1.</w:t>
      </w:r>
      <w:r>
        <w:rPr>
          <w:color w:val="000000"/>
          <w:sz w:val="24"/>
          <w:szCs w:val="20"/>
          <w:highlight w:val="none"/>
        </w:rPr>
        <w:t xml:space="preserve">此表中的报价应和《分项报价表》中的总价相一致。</w:t>
      </w:r>
      <w:r>
        <w:rPr>
          <w:color w:val="000000"/>
          <w:sz w:val="24"/>
          <w:szCs w:val="20"/>
          <w:highlight w:val="none"/>
        </w:rPr>
      </w:r>
      <w:r/>
    </w:p>
    <w:p>
      <w:pPr>
        <w:pStyle w:val="1127"/>
        <w:ind w:left="0" w:right="0" w:firstLine="480"/>
        <w:jc w:val="left"/>
        <w:keepLines w:val="0"/>
        <w:keepNext w:val="0"/>
        <w:pageBreakBefore w:val="0"/>
        <w:spacing w:before="464"/>
        <w:widowControl w:val="off"/>
        <w:rPr>
          <w:color w:val="000000"/>
          <w:sz w:val="24"/>
          <w:szCs w:val="20"/>
          <w:highlight w:val="none"/>
        </w:rPr>
      </w:pPr>
      <w:r>
        <w:rPr>
          <w:rFonts w:hint="eastAsia"/>
          <w:color w:val="000000"/>
          <w:sz w:val="24"/>
          <w:szCs w:val="20"/>
          <w:highlight w:val="none"/>
        </w:rPr>
        <w:t xml:space="preserve">2.二次报价即最终报价。</w:t>
      </w:r>
      <w:r>
        <w:rPr>
          <w:color w:val="000000"/>
          <w:sz w:val="24"/>
          <w:szCs w:val="20"/>
          <w:highlight w:val="none"/>
        </w:rPr>
      </w:r>
      <w:r/>
    </w:p>
    <w:p>
      <w:pPr>
        <w:pStyle w:val="1127"/>
        <w:spacing w:before="25" w:after="25" w:line="360" w:lineRule="auto"/>
        <w:rPr>
          <w:color w:val="000000"/>
          <w:sz w:val="24"/>
          <w:highlight w:val="none"/>
          <w:lang w:val="zh-CN"/>
        </w:rPr>
        <w:outlineLvl w:val="9"/>
      </w:pP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127"/>
        <w:spacing w:line="360" w:lineRule="auto"/>
        <w:rPr>
          <w:rFonts w:hint="eastAsia"/>
          <w:color w:val="000000"/>
          <w:sz w:val="24"/>
          <w:szCs w:val="20"/>
          <w:highlight w:val="none"/>
        </w:rPr>
        <w:outlineLvl w:val="9"/>
      </w:pPr>
      <w:r>
        <w:rPr>
          <w:rFonts w:hint="eastAsia"/>
          <w:color w:val="000000"/>
          <w:sz w:val="24"/>
          <w:szCs w:val="20"/>
          <w:highlight w:val="none"/>
        </w:rPr>
      </w:r>
      <w:r/>
    </w:p>
    <w:p>
      <w:pPr>
        <w:pStyle w:val="1127"/>
        <w:spacing w:line="360" w:lineRule="auto"/>
        <w:rPr>
          <w:rFonts w:hint="eastAsia"/>
          <w:color w:val="000000"/>
          <w:sz w:val="24"/>
          <w:szCs w:val="20"/>
          <w:highlight w:val="none"/>
        </w:rPr>
        <w:outlineLvl w:val="9"/>
      </w:pPr>
      <w:r>
        <w:rPr>
          <w:rFonts w:hint="eastAsia"/>
          <w:color w:val="000000"/>
          <w:sz w:val="24"/>
          <w:szCs w:val="20"/>
          <w:highlight w:val="none"/>
        </w:rPr>
      </w:r>
      <w:r/>
    </w:p>
    <w:p>
      <w:pPr>
        <w:pStyle w:val="1127"/>
        <w:spacing w:line="360" w:lineRule="auto"/>
        <w:rPr>
          <w:rFonts w:hint="eastAsia"/>
          <w:color w:val="000000"/>
          <w:sz w:val="24"/>
          <w:szCs w:val="20"/>
          <w:highlight w:val="none"/>
        </w:rPr>
        <w:outlineLvl w:val="9"/>
      </w:pPr>
      <w:r>
        <w:rPr>
          <w:rFonts w:hint="eastAsia"/>
          <w:color w:val="000000"/>
          <w:sz w:val="24"/>
          <w:szCs w:val="20"/>
          <w:highlight w:val="none"/>
        </w:rPr>
      </w:r>
      <w:r/>
    </w:p>
    <w:p>
      <w:pPr>
        <w:pStyle w:val="1127"/>
        <w:jc w:val="left"/>
        <w:widowControl/>
        <w:rPr>
          <w:color w:val="000000"/>
          <w:sz w:val="24"/>
          <w:szCs w:val="20"/>
          <w:highlight w:val="none"/>
        </w:rPr>
        <w:outlineLvl w:val="9"/>
      </w:pPr>
      <w:r>
        <w:rPr>
          <w:color w:val="000000"/>
          <w:sz w:val="24"/>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2" w:name="_Toc127151562"/>
      <w:r/>
      <w:bookmarkStart w:id="633" w:name="_Toc226337258"/>
      <w:r/>
      <w:bookmarkStart w:id="634" w:name="_Toc305158830"/>
      <w:r/>
      <w:bookmarkStart w:id="635" w:name="_Toc264969252"/>
      <w:r/>
      <w:bookmarkStart w:id="636" w:name="_Toc150774765"/>
      <w:r/>
      <w:bookmarkStart w:id="637" w:name="_Toc305158904"/>
      <w:r/>
      <w:bookmarkStart w:id="638" w:name="_Toc226965752"/>
      <w:r/>
      <w:bookmarkStart w:id="639" w:name="_Toc142311062"/>
      <w:r/>
      <w:bookmarkStart w:id="640" w:name="_Toc226965835"/>
      <w:r/>
      <w:bookmarkStart w:id="641" w:name="_Toc265228400"/>
      <w:r/>
      <w:bookmarkStart w:id="642" w:name="_Toc195842927"/>
      <w:r/>
      <w:bookmarkStart w:id="643" w:name="_Toc226309806"/>
      <w:r/>
      <w:bookmarkStart w:id="644" w:name="_Toc150480798"/>
      <w:r/>
      <w:bookmarkStart w:id="645" w:name="_Toc142311061"/>
      <w:r/>
      <w:bookmarkStart w:id="646" w:name="_Toc264969251"/>
      <w:r/>
      <w:bookmarkStart w:id="647" w:name="_Toc265228399"/>
      <w:r/>
      <w:bookmarkStart w:id="648" w:name="_Toc195842926"/>
      <w:r/>
      <w:bookmarkStart w:id="649" w:name="_Toc150774764"/>
      <w:r/>
      <w:bookmarkStart w:id="650" w:name="_Toc226309805"/>
      <w:r/>
      <w:bookmarkStart w:id="651" w:name="_Toc305158829"/>
      <w:r/>
      <w:bookmarkStart w:id="652" w:name="_Toc150480797"/>
      <w:r/>
      <w:bookmarkStart w:id="653" w:name="_Toc305158903"/>
      <w:r/>
      <w:bookmarkStart w:id="654" w:name="_Toc226965751"/>
      <w:r/>
      <w:bookmarkStart w:id="655" w:name="_Toc226965834"/>
      <w:r/>
      <w:bookmarkStart w:id="656" w:name="_Toc226337257"/>
      <w:r/>
      <w:bookmarkStart w:id="657" w:name="_Toc127151561"/>
      <w:r>
        <w:rPr>
          <w:color w:val="000000"/>
          <w:sz w:val="24"/>
          <w:szCs w:val="20"/>
          <w:highlight w:val="none"/>
        </w:rPr>
        <w:t xml:space="preserve">分项报价表（实质性格式）</w:t>
      </w:r>
      <w:r>
        <w:rPr>
          <w:color w:val="000000"/>
          <w:sz w:val="24"/>
          <w:szCs w:val="20"/>
          <w:highlight w:val="none"/>
        </w:rPr>
      </w:r>
      <w:r/>
    </w:p>
    <w:p>
      <w:pPr>
        <w:pStyle w:val="1127"/>
        <w:jc w:val="center"/>
        <w:spacing w:line="360" w:lineRule="exact"/>
        <w:rPr>
          <w:color w:val="000000"/>
          <w:sz w:val="36"/>
          <w:szCs w:val="36"/>
          <w:highlight w:val="none"/>
        </w:rPr>
        <w:outlineLvl w:val="9"/>
      </w:pPr>
      <w:r>
        <w:rPr>
          <w:color w:val="000000"/>
          <w:sz w:val="36"/>
          <w:szCs w:val="36"/>
          <w:highlight w:val="none"/>
        </w:rPr>
      </w:r>
      <w:r/>
    </w:p>
    <w:p>
      <w:pPr>
        <w:pStyle w:val="1127"/>
        <w:jc w:val="center"/>
        <w:rPr>
          <w:b/>
          <w:color w:val="000000"/>
          <w:sz w:val="36"/>
          <w:szCs w:val="36"/>
          <w:highlight w:val="none"/>
        </w:rPr>
        <w:outlineLvl w:val="9"/>
      </w:pPr>
      <w:r>
        <w:rPr>
          <w:rFonts w:hint="eastAsia"/>
          <w:b/>
          <w:color w:val="000000"/>
          <w:sz w:val="36"/>
          <w:szCs w:val="36"/>
          <w:highlight w:val="none"/>
        </w:rPr>
        <w:t xml:space="preserve">分项报价表</w:t>
      </w:r>
      <w:r>
        <w:rPr>
          <w:b/>
          <w:color w:val="000000"/>
          <w:sz w:val="36"/>
          <w:szCs w:val="36"/>
          <w:highlight w:val="none"/>
        </w:rPr>
      </w:r>
      <w:r/>
    </w:p>
    <w:p>
      <w:pPr>
        <w:pStyle w:val="1127"/>
        <w:jc w:val="center"/>
        <w:spacing w:line="260" w:lineRule="exact"/>
        <w:rPr>
          <w:color w:val="000000"/>
          <w:sz w:val="36"/>
          <w:szCs w:val="36"/>
          <w:highlight w:val="none"/>
        </w:rPr>
        <w:outlineLvl w:val="9"/>
      </w:pPr>
      <w:r>
        <w:rPr>
          <w:color w:val="000000"/>
          <w:sz w:val="36"/>
          <w:szCs w:val="36"/>
          <w:highlight w:val="none"/>
        </w:rPr>
      </w:r>
      <w:r/>
    </w:p>
    <w:p>
      <w:pPr>
        <w:pStyle w:val="1127"/>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p>
      <w:pPr>
        <w:pStyle w:val="1127"/>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tbl>
      <w:tblPr>
        <w:tblW w:w="103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013"/>
        <w:gridCol w:w="993"/>
        <w:gridCol w:w="1107"/>
        <w:gridCol w:w="918"/>
        <w:gridCol w:w="1144"/>
        <w:gridCol w:w="731"/>
        <w:gridCol w:w="3814"/>
      </w:tblGrid>
      <w:tr>
        <w:trPr>
          <w:trHeight w:val="90"/>
        </w:trPr>
        <w:tc>
          <w:tcPr>
            <w:tcW w:w="624"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013"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tcW w:w="993"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具体服务范围</w:t>
            </w:r>
            <w:r>
              <w:rPr>
                <w:rFonts w:ascii="宋体" w:hAnsi="宋体" w:cs="宋体"/>
                <w:b/>
                <w:bCs/>
                <w:color w:val="000000"/>
                <w:szCs w:val="21"/>
                <w:highlight w:val="none"/>
              </w:rPr>
            </w:r>
            <w:r/>
          </w:p>
        </w:tc>
        <w:tc>
          <w:tcPr>
            <w:tcW w:w="1107"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服务要求</w:t>
            </w:r>
            <w:r>
              <w:rPr>
                <w:rFonts w:ascii="宋体" w:hAnsi="宋体" w:cs="宋体"/>
                <w:b/>
                <w:bCs/>
                <w:color w:val="000000"/>
                <w:szCs w:val="21"/>
                <w:highlight w:val="none"/>
              </w:rPr>
            </w:r>
            <w:r/>
          </w:p>
        </w:tc>
        <w:tc>
          <w:tcPr>
            <w:tcW w:w="918"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服务时间（</w:t>
            </w:r>
            <w:r>
              <w:rPr>
                <w:rFonts w:hint="eastAsia" w:ascii="宋体" w:hAnsi="宋体" w:cs="宋体"/>
                <w:b/>
                <w:bCs/>
                <w:color w:val="000000"/>
                <w:szCs w:val="21"/>
                <w:highlight w:val="none"/>
                <w:lang w:val="en-US" w:eastAsia="zh-CN"/>
              </w:rPr>
              <w:t xml:space="preserve">年</w:t>
            </w:r>
            <w:r>
              <w:rPr>
                <w:rFonts w:hint="eastAsia" w:ascii="宋体" w:hAnsi="宋体" w:cs="宋体"/>
                <w:b/>
                <w:bCs/>
                <w:color w:val="000000"/>
                <w:szCs w:val="21"/>
                <w:highlight w:val="none"/>
              </w:rPr>
              <w:t xml:space="preserve">）</w:t>
            </w:r>
            <w:r>
              <w:rPr>
                <w:rFonts w:ascii="宋体" w:hAnsi="宋体" w:cs="宋体"/>
                <w:b/>
                <w:bCs/>
                <w:color w:val="000000"/>
                <w:szCs w:val="21"/>
                <w:highlight w:val="none"/>
              </w:rPr>
            </w:r>
            <w:r/>
          </w:p>
        </w:tc>
        <w:tc>
          <w:tcPr>
            <w:tcW w:w="1144"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服务标准</w:t>
            </w:r>
            <w:r>
              <w:rPr>
                <w:rFonts w:ascii="宋体" w:hAnsi="宋体" w:cs="宋体"/>
                <w:b/>
                <w:bCs/>
                <w:color w:val="000000"/>
                <w:szCs w:val="21"/>
                <w:highlight w:val="none"/>
              </w:rPr>
            </w:r>
            <w:r/>
          </w:p>
        </w:tc>
        <w:tc>
          <w:tcPr>
            <w:tcW w:w="731"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服务人数</w:t>
            </w:r>
            <w:r>
              <w:rPr>
                <w:rFonts w:ascii="宋体" w:hAnsi="宋体" w:cs="宋体"/>
                <w:b/>
                <w:bCs/>
                <w:color w:val="000000"/>
                <w:szCs w:val="21"/>
                <w:highlight w:val="none"/>
              </w:rPr>
            </w:r>
            <w:r/>
          </w:p>
        </w:tc>
        <w:tc>
          <w:tcPr>
            <w:tcW w:w="3814"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ascii="宋体" w:hAnsi="宋体" w:cs="宋体"/>
                <w:b/>
                <w:bCs/>
                <w:color w:val="000000"/>
                <w:szCs w:val="21"/>
                <w:highlight w:val="none"/>
              </w:rPr>
            </w:r>
            <w:r/>
          </w:p>
        </w:tc>
      </w:tr>
      <w:tr>
        <w:trPr>
          <w:cantSplit/>
          <w:trHeight w:val="90"/>
        </w:trPr>
        <w:tc>
          <w:tcPr>
            <w:tcW w:w="624" w:type="dxa"/>
            <w:vAlign w:val="center"/>
            <w:textDirection w:val="lrTb"/>
            <w:noWrap w:val="false"/>
          </w:tcPr>
          <w:p>
            <w:pPr>
              <w:pStyle w:val="1127"/>
              <w:jc w:val="center"/>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1013" w:type="dxa"/>
            <w:vAlign w:val="center"/>
            <w:textDirection w:val="lrTb"/>
            <w:noWrap w:val="false"/>
          </w:tcPr>
          <w:p>
            <w:pPr>
              <w:pStyle w:val="1127"/>
              <w:jc w:val="center"/>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保安队员</w:t>
            </w:r>
            <w:r>
              <w:rPr>
                <w:rFonts w:hint="eastAsia" w:ascii="宋体" w:hAnsi="宋体" w:eastAsia="宋体" w:cs="宋体"/>
                <w:color w:val="000000"/>
                <w:szCs w:val="21"/>
                <w:highlight w:val="none"/>
                <w:lang w:val="en-US" w:eastAsia="zh-CN"/>
              </w:rPr>
            </w:r>
            <w:r/>
          </w:p>
        </w:tc>
        <w:tc>
          <w:tcPr>
            <w:tcW w:w="993" w:type="dxa"/>
            <w:vAlign w:val="center"/>
            <w:textDirection w:val="lrTb"/>
            <w:noWrap w:val="false"/>
          </w:tcPr>
          <w:p>
            <w:pPr>
              <w:pStyle w:val="1127"/>
              <w:jc w:val="center"/>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钟楼区通江南路180号。</w:t>
            </w:r>
            <w:r>
              <w:rPr>
                <w:rFonts w:hint="eastAsia" w:ascii="宋体" w:hAnsi="宋体" w:eastAsia="宋体" w:cs="宋体"/>
                <w:color w:val="000000"/>
                <w:szCs w:val="21"/>
                <w:highlight w:val="none"/>
                <w:lang w:val="en-US" w:eastAsia="zh-CN"/>
              </w:rPr>
            </w:r>
            <w:r/>
          </w:p>
        </w:tc>
        <w:tc>
          <w:tcPr>
            <w:tcW w:w="1107" w:type="dxa"/>
            <w:vAlign w:val="center"/>
            <w:textDirection w:val="lrTb"/>
            <w:noWrap w:val="false"/>
          </w:tcPr>
          <w:p>
            <w:pPr>
              <w:pStyle w:val="1127"/>
              <w:jc w:val="center"/>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详见招标文件 “第</w:t>
            </w:r>
            <w:r>
              <w:rPr>
                <w:rFonts w:hint="eastAsia" w:ascii="宋体" w:hAnsi="宋体" w:eastAsia="宋体" w:cs="宋体"/>
                <w:color w:val="000000"/>
                <w:szCs w:val="21"/>
                <w:highlight w:val="none"/>
                <w:lang w:val="en-US" w:eastAsia="zh-CN"/>
              </w:rPr>
              <w:t xml:space="preserve">四</w:t>
            </w:r>
            <w:r>
              <w:rPr>
                <w:rFonts w:hint="eastAsia" w:ascii="宋体" w:hAnsi="宋体" w:eastAsia="宋体" w:cs="宋体"/>
                <w:color w:val="000000"/>
                <w:szCs w:val="21"/>
                <w:highlight w:val="none"/>
              </w:rPr>
              <w:t xml:space="preserve">章 采购需求”</w:t>
            </w:r>
            <w:r>
              <w:rPr>
                <w:rFonts w:hint="eastAsia" w:ascii="宋体" w:hAnsi="宋体" w:eastAsia="宋体" w:cs="宋体"/>
                <w:color w:val="000000"/>
                <w:szCs w:val="21"/>
                <w:highlight w:val="none"/>
                <w:lang w:val="en-US" w:eastAsia="zh-CN"/>
              </w:rPr>
            </w:r>
            <w:r/>
          </w:p>
        </w:tc>
        <w:tc>
          <w:tcPr>
            <w:tcW w:w="918" w:type="dxa"/>
            <w:vAlign w:val="center"/>
            <w:textDirection w:val="lrTb"/>
            <w:noWrap w:val="false"/>
          </w:tcPr>
          <w:p>
            <w:pPr>
              <w:pStyle w:val="1127"/>
              <w:jc w:val="center"/>
              <w:keepLines w:val="0"/>
              <w:keepNext w:val="0"/>
              <w:pageBreakBefore w:val="0"/>
              <w:spacing w:line="3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r>
            <w:r/>
          </w:p>
        </w:tc>
        <w:tc>
          <w:tcPr>
            <w:tcW w:w="1144" w:type="dxa"/>
            <w:vAlign w:val="center"/>
            <w:textDirection w:val="lrTb"/>
            <w:noWrap w:val="false"/>
          </w:tcPr>
          <w:p>
            <w:pPr>
              <w:pStyle w:val="1127"/>
              <w:jc w:val="center"/>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详见招标文件 “第</w:t>
            </w:r>
            <w:r>
              <w:rPr>
                <w:rFonts w:hint="eastAsia" w:ascii="宋体" w:hAnsi="宋体" w:eastAsia="宋体" w:cs="宋体"/>
                <w:color w:val="000000"/>
                <w:szCs w:val="21"/>
                <w:highlight w:val="none"/>
                <w:lang w:val="en-US" w:eastAsia="zh-CN"/>
              </w:rPr>
              <w:t xml:space="preserve">四</w:t>
            </w:r>
            <w:r>
              <w:rPr>
                <w:rFonts w:hint="eastAsia" w:ascii="宋体" w:hAnsi="宋体" w:eastAsia="宋体" w:cs="宋体"/>
                <w:color w:val="000000"/>
                <w:szCs w:val="21"/>
                <w:highlight w:val="none"/>
              </w:rPr>
              <w:t xml:space="preserve">章 采购需求”</w:t>
            </w:r>
            <w:r>
              <w:rPr>
                <w:rFonts w:hint="eastAsia" w:ascii="宋体" w:hAnsi="宋体" w:eastAsia="宋体" w:cs="宋体"/>
                <w:color w:val="000000"/>
                <w:szCs w:val="21"/>
                <w:highlight w:val="none"/>
                <w:lang w:val="en-US" w:eastAsia="zh-CN"/>
              </w:rPr>
            </w:r>
            <w:r/>
          </w:p>
        </w:tc>
        <w:tc>
          <w:tcPr>
            <w:tcW w:w="731" w:type="dxa"/>
            <w:vAlign w:val="center"/>
            <w:textDirection w:val="lrTb"/>
            <w:noWrap w:val="false"/>
          </w:tcPr>
          <w:p>
            <w:pPr>
              <w:pStyle w:val="1127"/>
              <w:jc w:val="center"/>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r>
            <w:r/>
          </w:p>
        </w:tc>
        <w:tc>
          <w:tcPr>
            <w:tcW w:w="3814" w:type="dxa"/>
            <w:vAlign w:val="center"/>
            <w:textDirection w:val="lrTb"/>
            <w:noWrap w:val="false"/>
          </w:tcPr>
          <w:p>
            <w:pPr>
              <w:pStyle w:val="1127"/>
              <w:jc w:val="left"/>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包含员工离职经济补偿金(限于供应商聘用人员)、保险、管理费、培训费、各类加班费（法定节假日等）、值班费、岗位补贴、高温补贴、员工福利、利润、各种税费、政策性文件规定及项目明示或暗示的所有风险、责任、义务等各项应有的费用。上述未列明，但供应商认为所需的其他费用也包含在内，采购人不接受供应商任何因遗漏报价而发生的费用追加。供应商应考虑合同期内的物价、政策等所有风险因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包括但不限于最低工资调整、社保基数上调、突发公共卫生事件导致的额外防疫成本等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，在投标时自行预测并纳入总价中。合同期内若涉及本地区最低工资、社保缴费基数等上调，涉及到工资差额、固定岗位工资差额、假日工资差额、社保差额部分等均由供应商承担。</w:t>
            </w:r>
            <w:r>
              <w:rPr>
                <w:rFonts w:hint="eastAsia" w:ascii="宋体" w:hAnsi="宋体" w:cs="宋体"/>
                <w:color w:val="000000"/>
                <w:szCs w:val="21"/>
                <w:highlight w:val="none"/>
              </w:rPr>
            </w:r>
            <w:r/>
          </w:p>
          <w:p>
            <w:pPr>
              <w:pStyle w:val="1159"/>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注：</w:t>
            </w:r>
            <w:r>
              <w:rPr>
                <w:rFonts w:hint="eastAsia"/>
                <w:b/>
                <w:bCs/>
                <w:lang w:val="en-US" w:eastAsia="zh-CN"/>
              </w:rPr>
              <w:t xml:space="preserve">满足国家相关费用要求。</w:t>
            </w:r>
            <w:r>
              <w:rPr>
                <w:rFonts w:hint="eastAsia" w:ascii="宋体" w:hAnsi="宋体" w:eastAsia="宋体" w:cs="宋体"/>
                <w:color w:val="000000"/>
                <w:szCs w:val="21"/>
                <w:highlight w:val="none"/>
                <w:lang w:val="en-US" w:eastAsia="zh-CN"/>
              </w:rPr>
            </w:r>
            <w:r/>
          </w:p>
        </w:tc>
      </w:tr>
      <w:tr>
        <w:trPr>
          <w:trHeight w:val="90"/>
        </w:trPr>
        <w:tc>
          <w:tcPr>
            <w:gridSpan w:val="2"/>
            <w:tcW w:w="1637" w:type="dxa"/>
            <w:vAlign w:val="center"/>
            <w:textDirection w:val="lrTb"/>
            <w:noWrap w:val="false"/>
          </w:tcPr>
          <w:p>
            <w:pPr>
              <w:pStyle w:val="1127"/>
              <w:jc w:val="center"/>
              <w:keepLines w:val="0"/>
              <w:keepNext w:val="0"/>
              <w:pageBreakBefore w:val="0"/>
              <w:spacing w:line="36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总价（单位为元）</w:t>
            </w:r>
            <w:r>
              <w:rPr>
                <w:rFonts w:ascii="宋体" w:hAnsi="宋体" w:cs="宋体"/>
                <w:b/>
                <w:bCs/>
                <w:color w:val="000000"/>
                <w:szCs w:val="21"/>
                <w:highlight w:val="none"/>
              </w:rPr>
            </w:r>
            <w:r/>
          </w:p>
        </w:tc>
        <w:tc>
          <w:tcPr>
            <w:gridSpan w:val="6"/>
            <w:tcW w:w="8707" w:type="dxa"/>
            <w:vAlign w:val="center"/>
            <w:textDirection w:val="lrTb"/>
            <w:noWrap w:val="false"/>
          </w:tcPr>
          <w:p>
            <w:pPr>
              <w:pStyle w:val="1127"/>
              <w:jc w:val="left"/>
              <w:keepLines w:val="0"/>
              <w:keepNext w:val="0"/>
              <w:pageBreakBefore w:val="0"/>
              <w:spacing w:line="360" w:lineRule="exact"/>
              <w:rPr>
                <w:rFonts w:ascii="宋体" w:hAnsi="宋体" w:cs="宋体"/>
                <w:color w:val="000000"/>
                <w:szCs w:val="21"/>
                <w:highlight w:val="none"/>
              </w:rPr>
            </w:pPr>
            <w:r>
              <w:rPr>
                <w:rFonts w:ascii="宋体" w:hAnsi="宋体" w:cs="宋体"/>
                <w:color w:val="000000"/>
                <w:szCs w:val="21"/>
                <w:highlight w:val="none"/>
              </w:rPr>
            </w:r>
            <w:r/>
          </w:p>
        </w:tc>
      </w:tr>
    </w:tbl>
    <w:p>
      <w:pPr>
        <w:pStyle w:val="1127"/>
        <w:ind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r>
      <w:r/>
    </w:p>
    <w:p>
      <w:pPr>
        <w:pStyle w:val="1127"/>
        <w:ind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注：1.如果不提供分项报价将视为没有实质性响应</w:t>
      </w:r>
      <w:r>
        <w:rPr>
          <w:rFonts w:hint="eastAsia" w:ascii="宋体" w:hAnsi="宋体" w:eastAsia="宋体" w:cs="Times New Roman"/>
          <w:color w:val="000000"/>
          <w:sz w:val="24"/>
          <w:szCs w:val="24"/>
          <w:highlight w:val="none"/>
          <w:lang w:eastAsia="zh-CN"/>
        </w:rPr>
        <w:t xml:space="preserve">竞争性磋商文件</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1127"/>
        <w:ind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2.本表行数可以按照项目分项情况增加。</w:t>
      </w:r>
      <w:r>
        <w:rPr>
          <w:rFonts w:hint="eastAsia" w:ascii="宋体" w:hAnsi="宋体" w:eastAsia="宋体" w:cs="Times New Roman"/>
          <w:color w:val="000000"/>
          <w:sz w:val="24"/>
          <w:szCs w:val="24"/>
          <w:highlight w:val="none"/>
        </w:rPr>
      </w:r>
      <w:r/>
    </w:p>
    <w:p>
      <w:pPr>
        <w:pStyle w:val="1127"/>
        <w:ind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3.上述各项的服务内容如表格中填写不下的，可以逐项另页描述。</w:t>
      </w:r>
      <w:r>
        <w:rPr>
          <w:rFonts w:hint="eastAsia" w:ascii="宋体" w:hAnsi="宋体" w:eastAsia="宋体" w:cs="Times New Roman"/>
          <w:color w:val="000000"/>
          <w:sz w:val="24"/>
          <w:szCs w:val="24"/>
          <w:highlight w:val="none"/>
        </w:rPr>
      </w:r>
      <w:r/>
    </w:p>
    <w:p>
      <w:pPr>
        <w:pStyle w:val="1127"/>
        <w:spacing w:before="25" w:after="25" w:line="360" w:lineRule="auto"/>
        <w:rPr>
          <w:color w:val="000000"/>
          <w:sz w:val="24"/>
          <w:highlight w:val="none"/>
          <w:lang w:val="zh-CN"/>
        </w:rPr>
        <w:outlineLvl w:val="9"/>
      </w:pPr>
      <w:r>
        <w:rPr>
          <w:color w:val="000000"/>
          <w:sz w:val="24"/>
          <w:highlight w:val="none"/>
          <w:lang w:val="zh-CN"/>
        </w:rPr>
      </w:r>
      <w:r/>
    </w:p>
    <w:p>
      <w:pPr>
        <w:pStyle w:val="1127"/>
        <w:spacing w:before="25" w:after="25" w:line="360" w:lineRule="auto"/>
        <w:rPr>
          <w:color w:val="000000"/>
          <w:sz w:val="24"/>
          <w:highlight w:val="none"/>
          <w:lang w:val="zh-CN"/>
        </w:rPr>
        <w:outlineLvl w:val="9"/>
      </w:pPr>
      <w:r>
        <w:rPr>
          <w:rFonts w:hint="eastAsia"/>
          <w:color w:val="000000"/>
          <w:sz w:val="24"/>
          <w:highlight w:val="none"/>
          <w:lang w:eastAsia="zh-CN"/>
        </w:rPr>
        <w:t xml:space="preserve">供应商</w:t>
      </w:r>
      <w:r>
        <w:rPr>
          <w:color w:val="000000"/>
          <w:sz w:val="24"/>
          <w:highlight w:val="none"/>
        </w:rPr>
        <w:t xml:space="preserve">名称（加盖公章）</w:t>
      </w:r>
      <w:r>
        <w:rPr>
          <w:color w:val="000000"/>
          <w:sz w:val="24"/>
          <w:highlight w:val="none"/>
          <w:lang w:val="zh-CN"/>
        </w:rPr>
        <w:t xml:space="preserve">：____________</w:t>
      </w:r>
      <w:r>
        <w:rPr>
          <w:color w:val="000000"/>
          <w:sz w:val="24"/>
          <w:highlight w:val="none"/>
          <w:lang w:val="zh-CN"/>
        </w:rPr>
      </w:r>
      <w:r/>
    </w:p>
    <w:p>
      <w:pPr>
        <w:pStyle w:val="1127"/>
        <w:spacing w:line="360" w:lineRule="auto"/>
        <w:rPr>
          <w:rFonts w:hint="eastAsia"/>
          <w:color w:val="000000"/>
          <w:sz w:val="24"/>
          <w:szCs w:val="20"/>
          <w:highlight w:val="none"/>
        </w:rPr>
        <w:outlineLvl w:val="9"/>
      </w:pPr>
      <w:r>
        <w:rPr>
          <w:color w:val="000000"/>
          <w:sz w:val="24"/>
          <w:szCs w:val="20"/>
          <w:highlight w:val="none"/>
        </w:rPr>
        <w:t xml:space="preserve">日期：_____年______月______日   </w:t>
      </w:r>
      <w:r>
        <w:rPr>
          <w:rFonts w:hint="eastAsia"/>
          <w:color w:val="000000"/>
          <w:sz w:val="24"/>
          <w:szCs w:val="20"/>
          <w:highlight w:val="none"/>
        </w:rPr>
      </w:r>
      <w:r/>
    </w:p>
    <w:p>
      <w:pPr>
        <w:pStyle w:val="1127"/>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szCs w:val="20"/>
          <w:highlight w:val="none"/>
        </w:rPr>
      </w:r>
      <w:r/>
    </w:p>
    <w:p>
      <w:pPr>
        <w:pStyle w:val="1127"/>
        <w:spacing w:line="360" w:lineRule="auto"/>
        <w:rPr>
          <w:color w:val="000000"/>
          <w:sz w:val="24"/>
          <w:szCs w:val="20"/>
          <w:highlight w:val="none"/>
        </w:rPr>
        <w:outlineLvl w:val="9"/>
      </w:pPr>
      <w:r>
        <w:rPr>
          <w:color w:val="000000"/>
          <w:sz w:val="24"/>
          <w:szCs w:val="20"/>
          <w:highlight w:val="none"/>
        </w:rPr>
      </w:r>
      <w:r/>
    </w:p>
    <w:p>
      <w:pPr>
        <w:pStyle w:val="1127"/>
        <w:jc w:val="center"/>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1127"/>
        <w:jc w:val="center"/>
        <w:rPr>
          <w:color w:val="000000"/>
          <w:sz w:val="36"/>
          <w:szCs w:val="36"/>
          <w:highlight w:val="none"/>
        </w:rPr>
        <w:outlineLvl w:val="9"/>
      </w:pPr>
      <w:r>
        <w:rPr>
          <w:color w:val="000000"/>
          <w:sz w:val="36"/>
          <w:szCs w:val="36"/>
          <w:highlight w:val="none"/>
        </w:rPr>
      </w:r>
      <w:r/>
    </w:p>
    <w:p>
      <w:pPr>
        <w:pStyle w:val="1127"/>
        <w:spacing w:line="360" w:lineRule="auto"/>
        <w:rPr>
          <w:color w:val="000000"/>
          <w:sz w:val="24"/>
          <w:szCs w:val="20"/>
          <w:highlight w:val="none"/>
        </w:rPr>
        <w:outlineLvl w:val="9"/>
      </w:pPr>
      <w:r>
        <w:rPr>
          <w:color w:val="000000"/>
          <w:sz w:val="24"/>
          <w:szCs w:val="20"/>
          <w:highlight w:val="none"/>
        </w:rPr>
      </w:r>
      <w:r/>
    </w:p>
    <w:p>
      <w:pPr>
        <w:pStyle w:val="1127"/>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127"/>
              <w:jc w:val="left"/>
              <w:rPr>
                <w:b/>
                <w:color w:val="000000"/>
                <w:sz w:val="24"/>
                <w:highlight w:val="none"/>
              </w:rPr>
              <w:outlineLvl w:val="9"/>
            </w:pPr>
            <w:r>
              <w:rPr>
                <w:rFonts w:hint="eastAsia"/>
                <w:b/>
                <w:color w:val="000000"/>
                <w:sz w:val="24"/>
                <w:highlight w:val="none"/>
              </w:rPr>
              <w:t xml:space="preserve">对本项目合同条款的偏离情况（请进行勾选）：</w:t>
            </w:r>
            <w:r>
              <w:rPr>
                <w:b/>
                <w:color w:val="000000"/>
                <w:sz w:val="24"/>
                <w:highlight w:val="none"/>
              </w:rPr>
            </w:r>
            <w:r/>
          </w:p>
          <w:p>
            <w:pPr>
              <w:pStyle w:val="1127"/>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27"/>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127"/>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127"/>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1127"/>
              <w:jc w:val="center"/>
              <w:rPr>
                <w:color w:val="000000"/>
                <w:sz w:val="24"/>
                <w:highlight w:val="none"/>
              </w:rPr>
              <w:outlineLvl w:val="9"/>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bl>
    <w:p>
      <w:pPr>
        <w:pStyle w:val="1127"/>
        <w:jc w:val="left"/>
        <w:tabs>
          <w:tab w:val="left" w:pos="1800" w:leader="none"/>
          <w:tab w:val="left" w:pos="5580" w:leader="none"/>
        </w:tabs>
        <w:rPr>
          <w:color w:val="000000"/>
          <w:sz w:val="24"/>
          <w:highlight w:val="none"/>
        </w:rPr>
        <w:outlineLvl w:val="9"/>
      </w:pPr>
      <w:r>
        <w:rPr>
          <w:color w:val="000000"/>
          <w:sz w:val="24"/>
          <w:highlight w:val="none"/>
        </w:rPr>
      </w:r>
      <w:r/>
    </w:p>
    <w:p>
      <w:pPr>
        <w:pStyle w:val="1127"/>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注：</w:t>
      </w:r>
      <w:r>
        <w:rPr>
          <w:color w:val="000000"/>
          <w:sz w:val="24"/>
          <w:highlight w:val="none"/>
        </w:rPr>
      </w:r>
      <w:r/>
    </w:p>
    <w:p>
      <w:pPr>
        <w:pStyle w:val="1127"/>
        <w:jc w:val="left"/>
        <w:tabs>
          <w:tab w:val="left" w:pos="1800" w:leader="none"/>
          <w:tab w:val="left" w:pos="5580" w:leader="none"/>
        </w:tabs>
        <w:rPr>
          <w:color w:val="000000"/>
          <w:sz w:val="24"/>
          <w:highlight w:val="none"/>
        </w:rPr>
        <w:outlineLvl w:val="9"/>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127"/>
        <w:jc w:val="left"/>
        <w:tabs>
          <w:tab w:val="left" w:pos="1800" w:leader="none"/>
          <w:tab w:val="left" w:pos="5580" w:leader="none"/>
        </w:tabs>
        <w:rPr>
          <w:color w:val="000000"/>
          <w:sz w:val="24"/>
          <w:highlight w:val="none"/>
        </w:rPr>
        <w:outlineLvl w:val="9"/>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127"/>
        <w:spacing w:line="360" w:lineRule="auto"/>
        <w:rPr>
          <w:color w:val="000000"/>
          <w:sz w:val="24"/>
          <w:szCs w:val="20"/>
          <w:highlight w:val="none"/>
        </w:rPr>
        <w:outlineLvl w:val="9"/>
      </w:pPr>
      <w:r>
        <w:rPr>
          <w:color w:val="000000"/>
          <w:sz w:val="24"/>
          <w:szCs w:val="20"/>
          <w:highlight w:val="none"/>
        </w:rPr>
      </w:r>
      <w:r/>
    </w:p>
    <w:p>
      <w:pPr>
        <w:pStyle w:val="1127"/>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127"/>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color w:val="000000"/>
          <w:sz w:val="24"/>
          <w:szCs w:val="20"/>
          <w:highlight w:val="none"/>
        </w:rPr>
        <w:t xml:space="preserve">采购需求偏离表</w:t>
      </w:r>
      <w:r>
        <w:rPr>
          <w:color w:val="000000"/>
          <w:sz w:val="24"/>
          <w:szCs w:val="20"/>
          <w:highlight w:val="none"/>
        </w:rPr>
      </w:r>
      <w:r/>
    </w:p>
    <w:p>
      <w:pPr>
        <w:pStyle w:val="1127"/>
        <w:jc w:val="center"/>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1127"/>
        <w:jc w:val="center"/>
        <w:rPr>
          <w:color w:val="000000"/>
          <w:sz w:val="36"/>
          <w:szCs w:val="36"/>
          <w:highlight w:val="none"/>
        </w:rPr>
        <w:outlineLvl w:val="9"/>
      </w:pPr>
      <w:r>
        <w:rPr>
          <w:color w:val="000000"/>
          <w:sz w:val="36"/>
          <w:szCs w:val="36"/>
          <w:highlight w:val="none"/>
        </w:rPr>
      </w:r>
      <w:r/>
    </w:p>
    <w:p>
      <w:pPr>
        <w:pStyle w:val="1127"/>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1127"/>
              <w:jc w:val="center"/>
              <w:rPr>
                <w:color w:val="000000"/>
                <w:sz w:val="24"/>
                <w:highlight w:val="none"/>
              </w:rPr>
              <w:outlineLvl w:val="9"/>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127"/>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127"/>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127"/>
              <w:jc w:val="center"/>
              <w:rPr>
                <w:color w:val="000000"/>
                <w:sz w:val="24"/>
                <w:highlight w:val="none"/>
              </w:rPr>
              <w:outlineLvl w:val="9"/>
            </w:pPr>
            <w:r>
              <w:rPr>
                <w:color w:val="000000"/>
                <w:sz w:val="24"/>
                <w:highlight w:val="none"/>
              </w:rPr>
            </w:r>
            <w:r/>
          </w:p>
        </w:tc>
      </w:tr>
    </w:tbl>
    <w:p>
      <w:pPr>
        <w:pStyle w:val="1127"/>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1127"/>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1127"/>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1127"/>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7"/>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127"/>
        <w:jc w:val="left"/>
        <w:tabs>
          <w:tab w:val="left" w:pos="1800" w:leader="none"/>
          <w:tab w:val="left" w:pos="5580" w:leader="none"/>
        </w:tabs>
        <w:rPr>
          <w:color w:val="000000"/>
          <w:sz w:val="24"/>
          <w:highlight w:val="none"/>
        </w:rPr>
        <w:outlineLvl w:val="9"/>
      </w:pPr>
      <w:r>
        <w:rPr>
          <w:color w:val="000000"/>
          <w:sz w:val="24"/>
          <w:highlight w:val="none"/>
        </w:rPr>
      </w:r>
      <w:r/>
    </w:p>
    <w:p>
      <w:pPr>
        <w:pStyle w:val="1127"/>
        <w:rPr>
          <w:color w:val="000000"/>
          <w:sz w:val="24"/>
          <w:szCs w:val="20"/>
          <w:highlight w:val="none"/>
        </w:rPr>
        <w:outlineLvl w:val="9"/>
      </w:pPr>
      <w:r>
        <w:rPr>
          <w:color w:val="000000"/>
          <w:sz w:val="24"/>
          <w:szCs w:val="20"/>
          <w:highlight w:val="none"/>
        </w:rPr>
      </w:r>
      <w:r/>
    </w:p>
    <w:p>
      <w:pPr>
        <w:pStyle w:val="1127"/>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127"/>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11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127"/>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1</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整体服务方案及管理方案</w:t>
      </w:r>
      <w:r>
        <w:rPr>
          <w:rFonts w:hint="eastAsia" w:ascii="Times New Roman" w:hAnsi="Times New Roman" w:eastAsia="宋体" w:cs="Times New Roman"/>
          <w:color w:val="000000"/>
          <w:sz w:val="24"/>
          <w:szCs w:val="20"/>
          <w:highlight w:val="none"/>
        </w:rPr>
      </w:r>
      <w:r/>
    </w:p>
    <w:p>
      <w:pPr>
        <w:pStyle w:val="1127"/>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2</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组织构架与规章制度</w:t>
      </w:r>
      <w:r>
        <w:rPr>
          <w:rFonts w:hint="eastAsia" w:ascii="Times New Roman" w:hAnsi="Times New Roman" w:eastAsia="宋体" w:cs="Times New Roman"/>
          <w:color w:val="000000"/>
          <w:sz w:val="24"/>
          <w:szCs w:val="20"/>
          <w:highlight w:val="none"/>
        </w:rPr>
      </w:r>
      <w:r/>
    </w:p>
    <w:p>
      <w:pPr>
        <w:pStyle w:val="1127"/>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3</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项目重点、难点措施</w:t>
      </w:r>
      <w:r>
        <w:rPr>
          <w:rFonts w:hint="eastAsia" w:ascii="Times New Roman" w:hAnsi="Times New Roman" w:eastAsia="宋体" w:cs="Times New Roman"/>
          <w:color w:val="000000"/>
          <w:sz w:val="24"/>
          <w:szCs w:val="20"/>
          <w:highlight w:val="none"/>
        </w:rPr>
      </w:r>
      <w:r/>
    </w:p>
    <w:p>
      <w:pPr>
        <w:pStyle w:val="1127"/>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4</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设备、物资投入情况</w:t>
      </w:r>
      <w:r>
        <w:rPr>
          <w:rFonts w:hint="eastAsia" w:ascii="Times New Roman" w:hAnsi="Times New Roman" w:eastAsia="宋体" w:cs="Times New Roman"/>
          <w:color w:val="000000"/>
          <w:sz w:val="24"/>
          <w:szCs w:val="20"/>
          <w:highlight w:val="none"/>
        </w:rPr>
      </w:r>
      <w:r/>
    </w:p>
    <w:p>
      <w:pPr>
        <w:pStyle w:val="1127"/>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5</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应急预案</w:t>
      </w:r>
      <w:r>
        <w:rPr>
          <w:rFonts w:hint="eastAsia" w:ascii="Times New Roman" w:hAnsi="Times New Roman" w:eastAsia="宋体" w:cs="Times New Roman"/>
          <w:color w:val="000000"/>
          <w:sz w:val="24"/>
          <w:szCs w:val="20"/>
          <w:highlight w:val="none"/>
        </w:rPr>
      </w:r>
      <w:r/>
    </w:p>
    <w:p>
      <w:pPr>
        <w:pStyle w:val="1127"/>
        <w:ind w:firstLine="480"/>
        <w:spacing w:line="560" w:lineRule="exact"/>
        <w:rPr>
          <w:color w:val="000000"/>
          <w:sz w:val="24"/>
          <w:szCs w:val="20"/>
          <w:highlight w:val="none"/>
        </w:rPr>
      </w:pP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6</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特色服务</w:t>
      </w: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1127"/>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1127"/>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27"/>
        <w:spacing w:line="360" w:lineRule="auto"/>
        <w:rPr>
          <w:rFonts w:ascii="宋体" w:hAnsi="宋体"/>
          <w:color w:val="000000"/>
          <w:sz w:val="22"/>
          <w:highlight w:val="none"/>
        </w:rPr>
        <w:outlineLvl w:val="9"/>
      </w:pPr>
      <w:r>
        <w:rPr>
          <w:rFonts w:ascii="宋体" w:hAnsi="宋体"/>
          <w:color w:val="000000"/>
          <w:sz w:val="22"/>
          <w:highlight w:val="none"/>
        </w:rPr>
      </w:r>
      <w:r/>
    </w:p>
    <w:p>
      <w:pPr>
        <w:pStyle w:val="1127"/>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27"/>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27"/>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1127"/>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127"/>
        <w:spacing w:line="360" w:lineRule="auto"/>
        <w:rPr>
          <w:rFonts w:ascii="宋体" w:hAnsi="宋体"/>
          <w:color w:val="000000"/>
          <w:sz w:val="24"/>
          <w:highlight w:val="none"/>
        </w:rPr>
        <w:outlineLvl w:val="9"/>
      </w:pPr>
      <w:r>
        <w:rPr>
          <w:rFonts w:ascii="宋体" w:hAnsi="宋体"/>
          <w:color w:val="000000"/>
          <w:sz w:val="24"/>
          <w:highlight w:val="none"/>
        </w:rPr>
      </w:r>
      <w:r/>
    </w:p>
    <w:p>
      <w:pPr>
        <w:pStyle w:val="1127"/>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127"/>
        <w:rPr>
          <w:color w:val="000000"/>
          <w:sz w:val="24"/>
          <w:szCs w:val="20"/>
          <w:highlight w:val="none"/>
        </w:rPr>
        <w:outlineLvl w:val="9"/>
      </w:pPr>
      <w:r>
        <w:rPr>
          <w:color w:val="000000"/>
          <w:sz w:val="22"/>
          <w:highlight w:val="none"/>
        </w:rPr>
        <w:br w:type="page" w:clear="all"/>
      </w:r>
      <w:bookmarkStart w:id="658" w:name="_Toc288738397"/>
      <w:r/>
      <w:bookmarkStart w:id="659" w:name="_Toc288738839"/>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1127"/>
        <w:rPr>
          <w:color w:val="000000"/>
          <w:sz w:val="24"/>
          <w:szCs w:val="20"/>
          <w:highlight w:val="none"/>
        </w:rPr>
        <w:outlineLvl w:val="9"/>
      </w:pPr>
      <w:r>
        <w:rPr>
          <w:color w:val="000000"/>
          <w:sz w:val="24"/>
          <w:szCs w:val="20"/>
          <w:highlight w:val="none"/>
        </w:rPr>
      </w:r>
      <w:r/>
    </w:p>
    <w:p>
      <w:pPr>
        <w:pStyle w:val="1127"/>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658"/>
      <w:r/>
      <w:bookmarkEnd w:id="659"/>
      <w:r>
        <w:rPr>
          <w:rFonts w:ascii="宋体" w:hAnsi="宋体"/>
          <w:b/>
          <w:color w:val="000000"/>
          <w:sz w:val="32"/>
          <w:szCs w:val="32"/>
          <w:highlight w:val="none"/>
        </w:rPr>
      </w:r>
      <w:r/>
    </w:p>
    <w:p>
      <w:pPr>
        <w:pStyle w:val="1127"/>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1127"/>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7"/>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7"/>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7"/>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7"/>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1127"/>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1127"/>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1127"/>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7"/>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127"/>
        <w:spacing w:line="360" w:lineRule="auto"/>
        <w:rPr>
          <w:color w:val="000000"/>
          <w:sz w:val="24"/>
          <w:highlight w:val="none"/>
        </w:rPr>
        <w:outlineLvl w:val="9"/>
      </w:pPr>
      <w:r>
        <w:rPr>
          <w:color w:val="000000"/>
          <w:sz w:val="24"/>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4</w:t>
      </w:r>
      <w:r>
        <w:rPr>
          <w:color w:val="000000"/>
          <w:sz w:val="24"/>
          <w:szCs w:val="20"/>
          <w:highlight w:val="none"/>
        </w:rPr>
        <w:t xml:space="preserve"> 磋商文件要求提供或供应商认为应附的其他材料</w:t>
      </w:r>
      <w:r>
        <w:rPr>
          <w:color w:val="000000"/>
          <w:sz w:val="24"/>
          <w:highlight w:val="none"/>
        </w:rPr>
      </w:r>
      <w:r/>
    </w:p>
    <w:p>
      <w:pPr>
        <w:pStyle w:val="1127"/>
        <w:rPr>
          <w:b/>
          <w:color w:val="000000"/>
          <w:sz w:val="36"/>
          <w:szCs w:val="36"/>
          <w:highlight w:val="none"/>
        </w:rPr>
        <w:outlineLvl w:val="9"/>
      </w:pPr>
      <w:r>
        <w:rPr>
          <w:b/>
          <w:color w:val="000000"/>
          <w:sz w:val="36"/>
          <w:szCs w:val="36"/>
          <w:highlight w:val="none"/>
        </w:rPr>
      </w:r>
      <w:r/>
    </w:p>
    <w:p>
      <w:pPr>
        <w:pStyle w:val="1127"/>
        <w:rPr>
          <w:color w:val="000000"/>
          <w:sz w:val="24"/>
          <w:highlight w:val="none"/>
          <w:lang w:val="zh-CN"/>
        </w:rPr>
        <w:outlineLvl w:val="9"/>
      </w:pPr>
      <w:r>
        <w:rPr>
          <w:color w:val="000000"/>
          <w:sz w:val="24"/>
          <w:szCs w:val="20"/>
          <w:highlight w:val="none"/>
        </w:rPr>
        <w:t xml:space="preserve"> </w:t>
      </w:r>
      <w:r>
        <w:rPr>
          <w:color w:val="000000"/>
          <w:sz w:val="24"/>
          <w:highlight w:val="none"/>
          <w:lang w:val="zh-CN"/>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Style w:val="1203"/>
      </w:rPr>
      <w:framePr w:wrap="around" w:vAnchor="text" w:hAnchor="margin" w:xAlign="center" w:y="1"/>
    </w:pPr>
    <w:r>
      <w:fldChar w:fldCharType="begin"/>
    </w:r>
    <w:r>
      <w:rPr>
        <w:rStyle w:val="1203"/>
      </w:rPr>
      <w:instrText xml:space="preserve">PAGE  </w:instrText>
    </w:r>
    <w:r>
      <w:fldChar w:fldCharType="end"/>
    </w:r>
    <w:r>
      <w:rPr>
        <w:rStyle w:val="1203"/>
      </w:rPr>
    </w:r>
    <w:r/>
  </w:p>
  <w:p>
    <w:pPr>
      <w:pStyle w:val="117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1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127"/>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1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12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8"/>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2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8"/>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127"/>
                    </w:pPr>
                    <w:r/>
                    <w:r/>
                  </w:p>
                </w:txbxContent>
              </v:textbox>
            </v:shape>
          </w:pict>
        </mc:Fallback>
      </mc:AlternateContent>
    </w:r>
    <w:r/>
  </w:p>
  <w:p>
    <w:pPr>
      <w:pStyle w:val="117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left="4457"/>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v:textbox>
            </v:shape>
          </w:pict>
        </mc:Fallback>
      </mc:AlternateContent>
    </w:r>
    <w:r>
      <w:rPr>
        <w:rFonts w:ascii="宋体" w:hAnsi="宋体" w:eastAsia="宋体" w:cs="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tabs>
        <w:tab w:val="center" w:pos="4153" w:leader="none"/>
        <w:tab w:val="right" w:pos="8306" w:leader="none"/>
      </w:tabs>
      <w:rPr>
        <w:rStyle w:val="1397"/>
      </w:rPr>
      <w:framePr w:wrap="around" w:vAnchor="text" w:hAnchor="margin" w:xAlign="right" w:y="1"/>
    </w:pPr>
    <w:r>
      <w:rPr>
        <w:rStyle w:val="1397"/>
      </w:rPr>
      <w:fldChar w:fldCharType="begin"/>
    </w:r>
    <w:r>
      <w:rPr>
        <w:rStyle w:val="1397"/>
      </w:rPr>
      <w:instrText xml:space="preserve">PAGE  </w:instrText>
    </w:r>
    <w:r>
      <w:rPr>
        <w:rStyle w:val="1397"/>
      </w:rPr>
      <w:fldChar w:fldCharType="end"/>
    </w:r>
    <w:r>
      <w:rPr>
        <w:rStyle w:val="1397"/>
      </w:rPr>
    </w:r>
    <w:r/>
  </w:p>
  <w:p>
    <w:pPr>
      <w:pStyle w:val="1396"/>
      <w:ind w:right="360"/>
      <w:tabs>
        <w:tab w:val="center" w:pos="4153" w:leader="none"/>
        <w:tab w:val="right" w:pos="8306" w:leader="none"/>
      </w:tabs>
    </w:pPr>
    <w:r/>
    <w:r/>
  </w:p>
  <w:p>
    <w:pPr>
      <w:pStyle w:val="112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right"/>
      <w:tabs>
        <w:tab w:val="center" w:pos="4153" w:leader="none"/>
        <w:tab w:val="right" w:pos="8306" w:leader="none"/>
      </w:tabs>
    </w:pPr>
    <w:r>
      <w:rPr>
        <w:rFonts w:hint="eastAsia"/>
        <w:color w:val="000000"/>
        <w:lang w:eastAsia="zh-CN"/>
      </w:rPr>
      <w:t xml:space="preserve">省厅金融证券大数据研判中心2026-2029年保安服务项目</w:t>
    </w:r>
    <w:r>
      <w:rPr>
        <w:rFonts w:hint="eastAsia"/>
        <w:color w:val="000000"/>
      </w:rPr>
      <w:t xml:space="preserve">竞争</w:t>
    </w:r>
    <w:r>
      <w:rPr>
        <w:rFonts w:hint="eastAsia"/>
      </w:rPr>
      <w:t xml:space="preserve">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right"/>
      <w:tabs>
        <w:tab w:val="center" w:pos="4153" w:leader="none"/>
        <w:tab w:val="right" w:pos="8306" w:leader="none"/>
      </w:tabs>
      <w:rPr>
        <w:rFonts w:hint="eastAsia" w:eastAsia="宋体"/>
        <w:lang w:eastAsia="zh-CN"/>
      </w:rPr>
      <w:pBdr>
        <w:bottom w:val="single" w:color="000000" w:sz="4" w:space="1"/>
      </w:pBdr>
    </w:pPr>
    <w:r>
      <w:rPr>
        <w:rFonts w:hint="eastAsia"/>
        <w:color w:val="000000"/>
        <w:lang w:eastAsia="zh-CN"/>
      </w:rPr>
      <w:t xml:space="preserve">省厅金融证券大数据研判中心2026-2029年保安服务项目竞争性磋</w:t>
    </w:r>
    <w:r>
      <w:rPr>
        <w:rFonts w:hint="eastAsia"/>
        <w:lang w:eastAsia="zh-CN"/>
      </w:rPr>
      <w:t xml:space="preserve">商文件</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tabs>
        <w:tab w:val="center" w:pos="4153" w:leader="none"/>
        <w:tab w:val="right" w:pos="8306" w:leader="none"/>
      </w:tabs>
    </w:pPr>
    <w:r/>
    <w:r/>
  </w:p>
  <w:p>
    <w:pPr>
      <w:pStyle w:val="112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27"/>
        <w:ind w:left="4941" w:hanging="1140"/>
        <w:tabs>
          <w:tab w:val="num" w:pos="4941" w:leader="none"/>
        </w:tabs>
      </w:pPr>
      <w:rPr>
        <w:rFonts w:hint="eastAsia"/>
      </w:rPr>
    </w:lvl>
    <w:lvl w:ilvl="1">
      <w:start w:val="1"/>
      <w:numFmt w:val="lowerLetter"/>
      <w:isLgl w:val="false"/>
      <w:suff w:val="tab"/>
      <w:lvlText w:val="%2)"/>
      <w:lvlJc w:val="left"/>
      <w:pPr>
        <w:pStyle w:val="1127"/>
        <w:ind w:left="4641" w:hanging="420"/>
        <w:tabs>
          <w:tab w:val="num" w:pos="4641" w:leader="none"/>
        </w:tabs>
      </w:pPr>
    </w:lvl>
    <w:lvl w:ilvl="2">
      <w:start w:val="1"/>
      <w:numFmt w:val="lowerRoman"/>
      <w:isLgl w:val="false"/>
      <w:suff w:val="tab"/>
      <w:lvlText w:val="%3."/>
      <w:lvlJc w:val="right"/>
      <w:pPr>
        <w:pStyle w:val="1127"/>
        <w:ind w:left="5061" w:hanging="420"/>
        <w:tabs>
          <w:tab w:val="num" w:pos="5061" w:leader="none"/>
        </w:tabs>
      </w:pPr>
    </w:lvl>
    <w:lvl w:ilvl="3">
      <w:start w:val="1"/>
      <w:numFmt w:val="decimal"/>
      <w:isLgl w:val="false"/>
      <w:suff w:val="tab"/>
      <w:lvlText w:val="%4."/>
      <w:lvlJc w:val="left"/>
      <w:pPr>
        <w:pStyle w:val="1127"/>
        <w:ind w:left="5481" w:hanging="420"/>
        <w:tabs>
          <w:tab w:val="num" w:pos="5481" w:leader="none"/>
        </w:tabs>
      </w:pPr>
    </w:lvl>
    <w:lvl w:ilvl="4">
      <w:start w:val="1"/>
      <w:numFmt w:val="lowerLetter"/>
      <w:isLgl w:val="false"/>
      <w:suff w:val="tab"/>
      <w:lvlText w:val="%5)"/>
      <w:lvlJc w:val="left"/>
      <w:pPr>
        <w:pStyle w:val="1127"/>
        <w:ind w:left="5901" w:hanging="420"/>
        <w:tabs>
          <w:tab w:val="num" w:pos="5901" w:leader="none"/>
        </w:tabs>
      </w:pPr>
    </w:lvl>
    <w:lvl w:ilvl="5">
      <w:start w:val="1"/>
      <w:numFmt w:val="lowerRoman"/>
      <w:isLgl w:val="false"/>
      <w:suff w:val="tab"/>
      <w:lvlText w:val="%6."/>
      <w:lvlJc w:val="right"/>
      <w:pPr>
        <w:pStyle w:val="1127"/>
        <w:ind w:left="6321" w:hanging="420"/>
        <w:tabs>
          <w:tab w:val="num" w:pos="6321" w:leader="none"/>
        </w:tabs>
      </w:pPr>
    </w:lvl>
    <w:lvl w:ilvl="6">
      <w:start w:val="1"/>
      <w:numFmt w:val="decimal"/>
      <w:isLgl w:val="false"/>
      <w:suff w:val="tab"/>
      <w:lvlText w:val="%7."/>
      <w:lvlJc w:val="left"/>
      <w:pPr>
        <w:pStyle w:val="1127"/>
        <w:ind w:left="6741" w:hanging="420"/>
        <w:tabs>
          <w:tab w:val="num" w:pos="6741" w:leader="none"/>
        </w:tabs>
      </w:pPr>
    </w:lvl>
    <w:lvl w:ilvl="7">
      <w:start w:val="1"/>
      <w:numFmt w:val="lowerLetter"/>
      <w:isLgl w:val="false"/>
      <w:suff w:val="tab"/>
      <w:lvlText w:val="%8)"/>
      <w:lvlJc w:val="left"/>
      <w:pPr>
        <w:pStyle w:val="1127"/>
        <w:ind w:left="7161" w:hanging="420"/>
        <w:tabs>
          <w:tab w:val="num" w:pos="7161" w:leader="none"/>
        </w:tabs>
      </w:pPr>
    </w:lvl>
    <w:lvl w:ilvl="8">
      <w:start w:val="1"/>
      <w:numFmt w:val="lowerRoman"/>
      <w:isLgl w:val="false"/>
      <w:suff w:val="tab"/>
      <w:lvlText w:val="%9."/>
      <w:lvlJc w:val="right"/>
      <w:pPr>
        <w:pStyle w:val="1127"/>
        <w:ind w:left="7581" w:hanging="420"/>
        <w:tabs>
          <w:tab w:val="num" w:pos="7581" w:leader="none"/>
        </w:tabs>
      </w:pPr>
    </w:lvl>
  </w:abstractNum>
  <w:abstractNum w:abstractNumId="1">
    <w:multiLevelType w:val="hybridMultilevel"/>
    <w:lvl w:ilvl="0">
      <w:start w:val="1"/>
      <w:numFmt w:val="decimal"/>
      <w:pStyle w:val="1290"/>
      <w:isLgl w:val="false"/>
      <w:suff w:val="tab"/>
      <w:lvlText w:val="%1."/>
      <w:lvlJc w:val="left"/>
      <w:pPr>
        <w:pStyle w:val="1127"/>
        <w:ind w:left="420" w:hanging="420"/>
      </w:pPr>
    </w:lvl>
    <w:lvl w:ilvl="1">
      <w:start w:val="1"/>
      <w:numFmt w:val="decimal"/>
      <w:isLgl w:val="false"/>
      <w:suff w:val="tab"/>
      <w:lvlText w:val="（%2）"/>
      <w:lvlJc w:val="left"/>
      <w:pPr>
        <w:pStyle w:val="1127"/>
        <w:ind w:left="1140" w:hanging="720"/>
        <w:tabs>
          <w:tab w:val="num" w:pos="1140" w:leader="none"/>
        </w:tabs>
      </w:pPr>
      <w:rPr>
        <w:rFonts w:hint="eastAsia"/>
      </w:r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2">
    <w:multiLevelType w:val="hybridMultilevel"/>
    <w:lvl w:ilvl="0">
      <w:start w:val="1"/>
      <w:numFmt w:val="lowerLetter"/>
      <w:pStyle w:val="1361"/>
      <w:isLgl w:val="false"/>
      <w:suff w:val="tab"/>
      <w:lvlText w:val="%1)"/>
      <w:lvlJc w:val="left"/>
      <w:pPr>
        <w:pStyle w:val="1127"/>
        <w:ind w:left="902" w:hanging="420"/>
      </w:pPr>
      <w:rPr>
        <w:color w:val="000000"/>
      </w:rPr>
    </w:lvl>
    <w:lvl w:ilvl="1">
      <w:start w:val="1"/>
      <w:numFmt w:val="lowerLetter"/>
      <w:isLgl w:val="false"/>
      <w:suff w:val="tab"/>
      <w:lvlText w:val="%2)"/>
      <w:lvlJc w:val="left"/>
      <w:pPr>
        <w:pStyle w:val="1127"/>
        <w:ind w:left="1322" w:hanging="420"/>
      </w:pPr>
    </w:lvl>
    <w:lvl w:ilvl="2">
      <w:start w:val="1"/>
      <w:numFmt w:val="lowerRoman"/>
      <w:isLgl w:val="false"/>
      <w:suff w:val="tab"/>
      <w:lvlText w:val="%3."/>
      <w:lvlJc w:val="right"/>
      <w:pPr>
        <w:pStyle w:val="1127"/>
        <w:ind w:left="1742" w:hanging="420"/>
      </w:pPr>
    </w:lvl>
    <w:lvl w:ilvl="3">
      <w:start w:val="1"/>
      <w:numFmt w:val="decimal"/>
      <w:isLgl w:val="false"/>
      <w:suff w:val="tab"/>
      <w:lvlText w:val="%4."/>
      <w:lvlJc w:val="left"/>
      <w:pPr>
        <w:pStyle w:val="1127"/>
        <w:ind w:left="2162" w:hanging="420"/>
      </w:pPr>
    </w:lvl>
    <w:lvl w:ilvl="4">
      <w:start w:val="1"/>
      <w:numFmt w:val="lowerLetter"/>
      <w:isLgl w:val="false"/>
      <w:suff w:val="tab"/>
      <w:lvlText w:val="%5)"/>
      <w:lvlJc w:val="left"/>
      <w:pPr>
        <w:pStyle w:val="1127"/>
        <w:ind w:left="2582" w:hanging="420"/>
      </w:pPr>
    </w:lvl>
    <w:lvl w:ilvl="5">
      <w:start w:val="1"/>
      <w:numFmt w:val="lowerRoman"/>
      <w:isLgl w:val="false"/>
      <w:suff w:val="tab"/>
      <w:lvlText w:val="%6."/>
      <w:lvlJc w:val="right"/>
      <w:pPr>
        <w:pStyle w:val="1127"/>
        <w:ind w:left="3002" w:hanging="420"/>
      </w:pPr>
    </w:lvl>
    <w:lvl w:ilvl="6">
      <w:start w:val="1"/>
      <w:numFmt w:val="decimal"/>
      <w:isLgl w:val="false"/>
      <w:suff w:val="tab"/>
      <w:lvlText w:val="%7."/>
      <w:lvlJc w:val="left"/>
      <w:pPr>
        <w:pStyle w:val="1127"/>
        <w:ind w:left="3422" w:hanging="420"/>
      </w:pPr>
    </w:lvl>
    <w:lvl w:ilvl="7">
      <w:start w:val="1"/>
      <w:numFmt w:val="lowerLetter"/>
      <w:isLgl w:val="false"/>
      <w:suff w:val="tab"/>
      <w:lvlText w:val="%8)"/>
      <w:lvlJc w:val="left"/>
      <w:pPr>
        <w:pStyle w:val="1127"/>
        <w:ind w:left="3842" w:hanging="420"/>
      </w:pPr>
    </w:lvl>
    <w:lvl w:ilvl="8">
      <w:start w:val="1"/>
      <w:numFmt w:val="lowerRoman"/>
      <w:isLgl w:val="false"/>
      <w:suff w:val="tab"/>
      <w:lvlText w:val="%9."/>
      <w:lvlJc w:val="right"/>
      <w:pPr>
        <w:pStyle w:val="1127"/>
        <w:ind w:left="4262" w:hanging="420"/>
      </w:pPr>
    </w:lvl>
  </w:abstractNum>
  <w:abstractNum w:abstractNumId="3">
    <w:multiLevelType w:val="hybridMultilevel"/>
    <w:lvl w:ilvl="0">
      <w:start w:val="1"/>
      <w:numFmt w:val="decimal"/>
      <w:pStyle w:val="1364"/>
      <w:isLgl w:val="false"/>
      <w:suff w:val="tab"/>
      <w:lvlText w:val="%1."/>
      <w:lvlJc w:val="left"/>
      <w:pPr>
        <w:pStyle w:val="112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76"/>
      <w:isLgl w:val="false"/>
      <w:suff w:val="nothing"/>
      <w:lvlText w:val="%1　"/>
      <w:lvlJc w:val="left"/>
      <w:pPr>
        <w:pStyle w:val="112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7"/>
        <w:ind w:left="-25" w:firstLine="0"/>
      </w:pPr>
      <w:rPr>
        <w:rFonts w:ascii="Times New Roman" w:hAnsi="Times New Roman" w:eastAsia="黑体"/>
        <w:b/>
        <w:i w:val="0"/>
        <w:sz w:val="28"/>
      </w:rPr>
    </w:lvl>
    <w:lvl w:ilvl="3">
      <w:start w:val="1"/>
      <w:numFmt w:val="decimal"/>
      <w:pStyle w:val="1291"/>
      <w:isLgl w:val="false"/>
      <w:suff w:val="nothing"/>
      <w:lvlText w:val="%1.%2.%3.%4　"/>
      <w:lvlJc w:val="left"/>
      <w:pPr>
        <w:pStyle w:val="112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7"/>
        <w:ind w:left="-25" w:firstLine="0"/>
      </w:pPr>
      <w:rPr>
        <w:rFonts w:ascii="Times New Roman" w:hAnsi="Times New Roman" w:eastAsia="宋体"/>
        <w:b/>
        <w:i w:val="0"/>
        <w:sz w:val="28"/>
      </w:rPr>
    </w:lvl>
    <w:lvl w:ilvl="6">
      <w:start w:val="1"/>
      <w:numFmt w:val="lowerLetter"/>
      <w:pStyle w:val="1270"/>
      <w:isLgl w:val="false"/>
      <w:suff w:val="tab"/>
      <w:lvlText w:val="%7) "/>
      <w:lvlJc w:val="left"/>
      <w:pPr>
        <w:pStyle w:val="1127"/>
        <w:ind w:left="-125" w:firstLine="400"/>
        <w:tabs>
          <w:tab w:val="num" w:pos="635" w:leader="none"/>
        </w:tabs>
      </w:pPr>
      <w:rPr>
        <w:rFonts w:ascii="Times New Roman" w:hAnsi="Times New Roman" w:eastAsia="宋体"/>
        <w:b/>
        <w:i w:val="0"/>
        <w:color w:val="000000"/>
        <w:sz w:val="28"/>
        <w:u w:val="none"/>
      </w:rPr>
    </w:lvl>
    <w:lvl w:ilvl="7">
      <w:start w:val="1"/>
      <w:numFmt w:val="decimal"/>
      <w:pStyle w:val="1281"/>
      <w:isLgl w:val="false"/>
      <w:suff w:val="tab"/>
      <w:lvlText w:val="%8) "/>
      <w:lvlJc w:val="left"/>
      <w:pPr>
        <w:pStyle w:val="112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27"/>
        <w:ind w:left="768" w:hanging="360"/>
        <w:tabs>
          <w:tab w:val="num" w:pos="768" w:leader="none"/>
        </w:tabs>
      </w:pPr>
      <w:rPr>
        <w:rFonts w:hint="eastAsia"/>
      </w:rPr>
    </w:lvl>
    <w:lvl w:ilvl="1">
      <w:start w:val="1"/>
      <w:numFmt w:val="decimal"/>
      <w:pStyle w:val="1362"/>
      <w:isLgl w:val="false"/>
      <w:suff w:val="tab"/>
      <w:lvlText w:val="%2、"/>
      <w:lvlJc w:val="left"/>
      <w:pPr>
        <w:pStyle w:val="1127"/>
        <w:ind w:left="1188" w:hanging="360"/>
        <w:tabs>
          <w:tab w:val="num" w:pos="1188" w:leader="none"/>
        </w:tabs>
      </w:pPr>
      <w:rPr>
        <w:rFonts w:hint="eastAsia"/>
      </w:rPr>
    </w:lvl>
    <w:lvl w:ilvl="2">
      <w:start w:val="1"/>
      <w:numFmt w:val="decimal"/>
      <w:isLgl w:val="false"/>
      <w:suff w:val="tab"/>
      <w:lvlText w:val="（%3）"/>
      <w:lvlJc w:val="left"/>
      <w:pPr>
        <w:pStyle w:val="1127"/>
        <w:ind w:left="1968" w:hanging="720"/>
        <w:tabs>
          <w:tab w:val="num" w:pos="1968" w:leader="none"/>
        </w:tabs>
      </w:pPr>
      <w:rPr>
        <w:rFonts w:hint="eastAsia"/>
        <w:u w:val="none"/>
      </w:rPr>
    </w:lvl>
    <w:lvl w:ilvl="3">
      <w:start w:val="1"/>
      <w:numFmt w:val="decimal"/>
      <w:isLgl w:val="false"/>
      <w:suff w:val="tab"/>
      <w:lvlText w:val="%4."/>
      <w:lvlJc w:val="left"/>
      <w:pPr>
        <w:pStyle w:val="1127"/>
        <w:ind w:left="2088" w:hanging="420"/>
        <w:tabs>
          <w:tab w:val="num" w:pos="2088" w:leader="none"/>
        </w:tabs>
      </w:pPr>
    </w:lvl>
    <w:lvl w:ilvl="4">
      <w:start w:val="1"/>
      <w:numFmt w:val="lowerLetter"/>
      <w:isLgl w:val="false"/>
      <w:suff w:val="tab"/>
      <w:lvlText w:val="%5)"/>
      <w:lvlJc w:val="left"/>
      <w:pPr>
        <w:pStyle w:val="1127"/>
        <w:ind w:left="2508" w:hanging="420"/>
        <w:tabs>
          <w:tab w:val="num" w:pos="2508" w:leader="none"/>
        </w:tabs>
      </w:pPr>
    </w:lvl>
    <w:lvl w:ilvl="5">
      <w:start w:val="1"/>
      <w:numFmt w:val="lowerRoman"/>
      <w:isLgl w:val="false"/>
      <w:suff w:val="tab"/>
      <w:lvlText w:val="%6."/>
      <w:lvlJc w:val="right"/>
      <w:pPr>
        <w:pStyle w:val="1127"/>
        <w:ind w:left="2928" w:hanging="420"/>
        <w:tabs>
          <w:tab w:val="num" w:pos="2928" w:leader="none"/>
        </w:tabs>
      </w:pPr>
    </w:lvl>
    <w:lvl w:ilvl="6">
      <w:start w:val="1"/>
      <w:numFmt w:val="decimal"/>
      <w:isLgl w:val="false"/>
      <w:suff w:val="tab"/>
      <w:lvlText w:val="%7."/>
      <w:lvlJc w:val="left"/>
      <w:pPr>
        <w:pStyle w:val="1127"/>
        <w:ind w:left="3348" w:hanging="420"/>
        <w:tabs>
          <w:tab w:val="num" w:pos="3348" w:leader="none"/>
        </w:tabs>
      </w:pPr>
    </w:lvl>
    <w:lvl w:ilvl="7">
      <w:start w:val="1"/>
      <w:numFmt w:val="lowerLetter"/>
      <w:isLgl w:val="false"/>
      <w:suff w:val="tab"/>
      <w:lvlText w:val="%8)"/>
      <w:lvlJc w:val="left"/>
      <w:pPr>
        <w:pStyle w:val="1127"/>
        <w:ind w:left="3768" w:hanging="420"/>
        <w:tabs>
          <w:tab w:val="num" w:pos="3768" w:leader="none"/>
        </w:tabs>
      </w:pPr>
    </w:lvl>
    <w:lvl w:ilvl="8">
      <w:start w:val="1"/>
      <w:numFmt w:val="lowerRoman"/>
      <w:isLgl w:val="false"/>
      <w:suff w:val="tab"/>
      <w:lvlText w:val="%9."/>
      <w:lvlJc w:val="right"/>
      <w:pPr>
        <w:pStyle w:val="112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27"/>
        <w:ind w:left="900" w:hanging="900"/>
        <w:tabs>
          <w:tab w:val="num" w:pos="900" w:leader="none"/>
        </w:tabs>
      </w:pPr>
      <w:rPr>
        <w:rFonts w:hint="eastAsia"/>
      </w:rPr>
    </w:lvl>
    <w:lvl w:ilvl="1">
      <w:start w:val="1"/>
      <w:numFmt w:val="decimal"/>
      <w:isLgl w:val="false"/>
      <w:suff w:val="tab"/>
      <w:lvlText w:val="%1.%2"/>
      <w:lvlJc w:val="left"/>
      <w:pPr>
        <w:pStyle w:val="112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7"/>
        <w:ind w:left="1980" w:hanging="900"/>
        <w:tabs>
          <w:tab w:val="num" w:pos="1980" w:leader="none"/>
        </w:tabs>
      </w:pPr>
      <w:rPr>
        <w:rFonts w:hint="eastAsia"/>
      </w:rPr>
    </w:lvl>
    <w:lvl w:ilvl="3">
      <w:start w:val="1"/>
      <w:numFmt w:val="decimal"/>
      <w:isLgl w:val="false"/>
      <w:suff w:val="tab"/>
      <w:lvlText w:val="%1.%2.%3.%4"/>
      <w:lvlJc w:val="left"/>
      <w:pPr>
        <w:pStyle w:val="1127"/>
        <w:ind w:left="900" w:hanging="900"/>
        <w:tabs>
          <w:tab w:val="num" w:pos="900" w:leader="none"/>
        </w:tabs>
      </w:pPr>
      <w:rPr>
        <w:rFonts w:hint="eastAsia"/>
      </w:rPr>
    </w:lvl>
    <w:lvl w:ilvl="4">
      <w:start w:val="1"/>
      <w:numFmt w:val="decimal"/>
      <w:isLgl w:val="false"/>
      <w:suff w:val="tab"/>
      <w:lvlText w:val="%1.%2.%3.%4.%5"/>
      <w:lvlJc w:val="left"/>
      <w:pPr>
        <w:pStyle w:val="1127"/>
        <w:ind w:left="900" w:hanging="900"/>
        <w:tabs>
          <w:tab w:val="num" w:pos="900" w:leader="none"/>
        </w:tabs>
      </w:pPr>
      <w:rPr>
        <w:rFonts w:hint="eastAsia"/>
      </w:rPr>
    </w:lvl>
    <w:lvl w:ilvl="5">
      <w:start w:val="1"/>
      <w:numFmt w:val="decimal"/>
      <w:isLgl w:val="false"/>
      <w:suff w:val="tab"/>
      <w:lvlText w:val="%1.%2.%3.%4.%5.%6"/>
      <w:lvlJc w:val="left"/>
      <w:pPr>
        <w:pStyle w:val="1127"/>
        <w:ind w:left="900" w:hanging="900"/>
        <w:tabs>
          <w:tab w:val="num" w:pos="900" w:leader="none"/>
        </w:tabs>
      </w:pPr>
      <w:rPr>
        <w:rFonts w:hint="eastAsia"/>
      </w:rPr>
    </w:lvl>
    <w:lvl w:ilvl="6">
      <w:start w:val="1"/>
      <w:numFmt w:val="decimal"/>
      <w:isLgl w:val="false"/>
      <w:suff w:val="tab"/>
      <w:lvlText w:val="%1.%2.%3.%4.%5.%6.%7"/>
      <w:lvlJc w:val="left"/>
      <w:pPr>
        <w:pStyle w:val="1127"/>
        <w:ind w:left="900" w:hanging="900"/>
        <w:tabs>
          <w:tab w:val="num" w:pos="900" w:leader="none"/>
        </w:tabs>
      </w:pPr>
      <w:rPr>
        <w:rFonts w:hint="eastAsia"/>
      </w:rPr>
    </w:lvl>
    <w:lvl w:ilvl="7">
      <w:start w:val="1"/>
      <w:numFmt w:val="decimal"/>
      <w:isLgl w:val="false"/>
      <w:suff w:val="tab"/>
      <w:lvlText w:val="%1.%2.%3.%4.%5.%6.%7.%8"/>
      <w:lvlJc w:val="left"/>
      <w:pPr>
        <w:pStyle w:val="1127"/>
        <w:ind w:left="900" w:hanging="900"/>
        <w:tabs>
          <w:tab w:val="num" w:pos="900" w:leader="none"/>
        </w:tabs>
      </w:pPr>
      <w:rPr>
        <w:rFonts w:hint="eastAsia"/>
      </w:rPr>
    </w:lvl>
    <w:lvl w:ilvl="8">
      <w:start w:val="1"/>
      <w:numFmt w:val="decimal"/>
      <w:isLgl w:val="false"/>
      <w:suff w:val="tab"/>
      <w:lvlText w:val="%1.%2.%3.%4.%5.%6.%7.%8.%9"/>
      <w:lvlJc w:val="left"/>
      <w:pPr>
        <w:pStyle w:val="1127"/>
        <w:ind w:left="900" w:hanging="900"/>
        <w:tabs>
          <w:tab w:val="num" w:pos="900" w:leader="none"/>
        </w:tabs>
      </w:pPr>
      <w:rPr>
        <w:rFonts w:hint="eastAsia"/>
      </w:rPr>
    </w:lvl>
  </w:abstractNum>
  <w:abstractNum w:abstractNumId="7">
    <w:multiLevelType w:val="hybridMultilevel"/>
    <w:lvl w:ilvl="0">
      <w:start w:val="1"/>
      <w:numFmt w:val="decimal"/>
      <w:pStyle w:val="1316"/>
      <w:isLgl w:val="false"/>
      <w:suff w:val="tab"/>
      <w:lvlText w:val="%1)"/>
      <w:lvlJc w:val="left"/>
      <w:pPr>
        <w:pStyle w:val="1127"/>
        <w:ind w:left="420" w:hanging="420"/>
      </w:pPr>
    </w:lvl>
    <w:lvl w:ilvl="1">
      <w:start w:val="1"/>
      <w:numFmt w:val="lowerLetter"/>
      <w:isLgl w:val="false"/>
      <w:suff w:val="tab"/>
      <w:lvlText w:val="%2)"/>
      <w:lvlJc w:val="left"/>
      <w:pPr>
        <w:pStyle w:val="1127"/>
        <w:ind w:left="840" w:hanging="420"/>
      </w:pPr>
    </w:lvl>
    <w:lvl w:ilvl="2">
      <w:start w:val="1"/>
      <w:numFmt w:val="lowerRoman"/>
      <w:isLgl w:val="false"/>
      <w:suff w:val="tab"/>
      <w:lvlText w:val="%3."/>
      <w:lvlJc w:val="right"/>
      <w:pPr>
        <w:pStyle w:val="1127"/>
        <w:ind w:left="1260" w:hanging="420"/>
      </w:pPr>
    </w:lvl>
    <w:lvl w:ilvl="3">
      <w:start w:val="1"/>
      <w:numFmt w:val="decimal"/>
      <w:isLgl w:val="false"/>
      <w:suff w:val="tab"/>
      <w:lvlText w:val="%4."/>
      <w:lvlJc w:val="left"/>
      <w:pPr>
        <w:pStyle w:val="1127"/>
        <w:ind w:left="1680" w:hanging="420"/>
      </w:pPr>
    </w:lvl>
    <w:lvl w:ilvl="4">
      <w:start w:val="1"/>
      <w:numFmt w:val="lowerLetter"/>
      <w:isLgl w:val="false"/>
      <w:suff w:val="tab"/>
      <w:lvlText w:val="%5)"/>
      <w:lvlJc w:val="left"/>
      <w:pPr>
        <w:pStyle w:val="1127"/>
        <w:ind w:left="2100" w:hanging="420"/>
      </w:pPr>
    </w:lvl>
    <w:lvl w:ilvl="5">
      <w:start w:val="1"/>
      <w:numFmt w:val="lowerRoman"/>
      <w:isLgl w:val="false"/>
      <w:suff w:val="tab"/>
      <w:lvlText w:val="%6."/>
      <w:lvlJc w:val="right"/>
      <w:pPr>
        <w:pStyle w:val="1127"/>
        <w:ind w:left="2520" w:hanging="420"/>
      </w:pPr>
    </w:lvl>
    <w:lvl w:ilvl="6">
      <w:start w:val="1"/>
      <w:numFmt w:val="decimal"/>
      <w:isLgl w:val="false"/>
      <w:suff w:val="tab"/>
      <w:lvlText w:val="%7."/>
      <w:lvlJc w:val="left"/>
      <w:pPr>
        <w:pStyle w:val="1127"/>
        <w:ind w:left="2940" w:hanging="420"/>
      </w:pPr>
    </w:lvl>
    <w:lvl w:ilvl="7">
      <w:start w:val="1"/>
      <w:numFmt w:val="lowerLetter"/>
      <w:isLgl w:val="false"/>
      <w:suff w:val="tab"/>
      <w:lvlText w:val="%8)"/>
      <w:lvlJc w:val="left"/>
      <w:pPr>
        <w:pStyle w:val="1127"/>
        <w:ind w:left="3360" w:hanging="420"/>
      </w:pPr>
    </w:lvl>
    <w:lvl w:ilvl="8">
      <w:start w:val="1"/>
      <w:numFmt w:val="lowerRoman"/>
      <w:isLgl w:val="false"/>
      <w:suff w:val="tab"/>
      <w:lvlText w:val="%9."/>
      <w:lvlJc w:val="right"/>
      <w:pPr>
        <w:pStyle w:val="1127"/>
        <w:ind w:left="3780" w:hanging="420"/>
      </w:pPr>
    </w:lvl>
  </w:abstractNum>
  <w:abstractNum w:abstractNumId="8">
    <w:multiLevelType w:val="hybridMultilevel"/>
    <w:lvl w:ilvl="0">
      <w:start w:val="1"/>
      <w:numFmt w:val="decimal"/>
      <w:pStyle w:val="1326"/>
      <w:isLgl w:val="false"/>
      <w:suff w:val="tab"/>
      <w:lvlText w:val="%1"/>
      <w:lvlJc w:val="left"/>
      <w:pPr>
        <w:pStyle w:val="1127"/>
        <w:ind w:left="680" w:hanging="680"/>
      </w:pPr>
      <w:rPr>
        <w:rFonts w:hint="eastAsia" w:ascii="宋体" w:hAnsi="宋体" w:eastAsia="宋体"/>
      </w:rPr>
    </w:lvl>
    <w:lvl w:ilvl="1">
      <w:start w:val="1"/>
      <w:numFmt w:val="decimal"/>
      <w:pStyle w:val="1271"/>
      <w:isLgl w:val="false"/>
      <w:suff w:val="tab"/>
      <w:lvlText w:val="%1.%2"/>
      <w:lvlJc w:val="left"/>
      <w:pPr>
        <w:pStyle w:val="1127"/>
        <w:ind w:left="851" w:hanging="851"/>
      </w:pPr>
      <w:rPr>
        <w:rFonts w:hint="eastAsia" w:ascii="宋体" w:hAnsi="宋体" w:eastAsia="宋体"/>
        <w:color w:val="000000"/>
      </w:rPr>
    </w:lvl>
    <w:lvl w:ilvl="2">
      <w:start w:val="1"/>
      <w:numFmt w:val="decimal"/>
      <w:pStyle w:val="1377"/>
      <w:isLgl w:val="false"/>
      <w:suff w:val="tab"/>
      <w:lvlText w:val="%1.%2.%3"/>
      <w:lvlJc w:val="left"/>
      <w:pPr>
        <w:pStyle w:val="1127"/>
        <w:ind w:left="851" w:hanging="851"/>
      </w:pPr>
      <w:rPr>
        <w:rFonts w:hint="eastAsia"/>
      </w:rPr>
    </w:lvl>
    <w:lvl w:ilvl="3">
      <w:start w:val="1"/>
      <w:numFmt w:val="decimal"/>
      <w:isLgl w:val="false"/>
      <w:suff w:val="tab"/>
      <w:lvlText w:val="%1.%2.%3.%4"/>
      <w:lvlJc w:val="left"/>
      <w:pPr>
        <w:pStyle w:val="1127"/>
        <w:ind w:left="680" w:hanging="680"/>
      </w:pPr>
      <w:rPr>
        <w:rFonts w:hint="eastAsia"/>
      </w:rPr>
    </w:lvl>
    <w:lvl w:ilvl="4">
      <w:start w:val="1"/>
      <w:numFmt w:val="decimal"/>
      <w:isLgl w:val="false"/>
      <w:suff w:val="tab"/>
      <w:lvlText w:val="%1.%2.%3.%4.%5"/>
      <w:lvlJc w:val="left"/>
      <w:pPr>
        <w:pStyle w:val="1127"/>
        <w:ind w:left="680" w:hanging="680"/>
      </w:pPr>
      <w:rPr>
        <w:rFonts w:hint="eastAsia"/>
      </w:rPr>
    </w:lvl>
    <w:lvl w:ilvl="5">
      <w:start w:val="1"/>
      <w:numFmt w:val="decimal"/>
      <w:isLgl w:val="false"/>
      <w:suff w:val="tab"/>
      <w:lvlText w:val="%1.%2.%3.%4.%5.%6"/>
      <w:lvlJc w:val="left"/>
      <w:pPr>
        <w:pStyle w:val="1127"/>
        <w:ind w:left="680" w:hanging="680"/>
      </w:pPr>
      <w:rPr>
        <w:rFonts w:hint="eastAsia"/>
      </w:rPr>
    </w:lvl>
    <w:lvl w:ilvl="6">
      <w:start w:val="1"/>
      <w:numFmt w:val="decimal"/>
      <w:isLgl w:val="false"/>
      <w:suff w:val="tab"/>
      <w:lvlText w:val="%1.%2.%3.%4.%5.%6.%7"/>
      <w:lvlJc w:val="left"/>
      <w:pPr>
        <w:pStyle w:val="1127"/>
        <w:ind w:left="680" w:hanging="680"/>
      </w:pPr>
      <w:rPr>
        <w:rFonts w:hint="eastAsia"/>
      </w:rPr>
    </w:lvl>
    <w:lvl w:ilvl="7">
      <w:start w:val="1"/>
      <w:numFmt w:val="decimal"/>
      <w:isLgl w:val="false"/>
      <w:suff w:val="tab"/>
      <w:lvlText w:val="%1.%2.%3.%4.%5.%6.%7.%8"/>
      <w:lvlJc w:val="left"/>
      <w:pPr>
        <w:pStyle w:val="1127"/>
        <w:ind w:left="680" w:hanging="680"/>
      </w:pPr>
      <w:rPr>
        <w:rFonts w:hint="eastAsia"/>
      </w:rPr>
    </w:lvl>
    <w:lvl w:ilvl="8">
      <w:start w:val="1"/>
      <w:numFmt w:val="decimal"/>
      <w:isLgl w:val="false"/>
      <w:suff w:val="tab"/>
      <w:lvlText w:val="%1.%2.%3.%4.%5.%6.%7.%8.%9"/>
      <w:lvlJc w:val="left"/>
      <w:pPr>
        <w:pStyle w:val="1127"/>
        <w:ind w:left="680" w:hanging="680"/>
      </w:pPr>
      <w:rPr>
        <w:rFonts w:hint="eastAsia"/>
      </w:rPr>
    </w:lvl>
  </w:abstractNum>
  <w:abstractNum w:abstractNumId="9">
    <w:multiLevelType w:val="hybridMultilevel"/>
    <w:lvl w:ilvl="0">
      <w:start w:val="1"/>
      <w:numFmt w:val="decimal"/>
      <w:isLgl w:val="false"/>
      <w:suff w:val="tab"/>
      <w:lvlText w:val="%1"/>
      <w:lvlJc w:val="left"/>
      <w:pPr>
        <w:pStyle w:val="1127"/>
        <w:ind w:left="900" w:hanging="900"/>
        <w:tabs>
          <w:tab w:val="num" w:pos="900" w:leader="none"/>
        </w:tabs>
      </w:pPr>
      <w:rPr>
        <w:rFonts w:hint="eastAsia"/>
      </w:rPr>
    </w:lvl>
    <w:lvl w:ilvl="1">
      <w:start w:val="1"/>
      <w:numFmt w:val="decimal"/>
      <w:isLgl w:val="false"/>
      <w:suff w:val="tab"/>
      <w:lvlText w:val="%1.%2"/>
      <w:lvlJc w:val="left"/>
      <w:pPr>
        <w:pStyle w:val="112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27"/>
        <w:ind w:left="1980" w:hanging="900"/>
        <w:tabs>
          <w:tab w:val="num" w:pos="1980" w:leader="none"/>
        </w:tabs>
      </w:pPr>
      <w:rPr>
        <w:rFonts w:hint="eastAsia"/>
      </w:rPr>
    </w:lvl>
    <w:lvl w:ilvl="3">
      <w:start w:val="1"/>
      <w:numFmt w:val="decimal"/>
      <w:isLgl w:val="false"/>
      <w:suff w:val="tab"/>
      <w:lvlText w:val="%1.%2.%3.%4"/>
      <w:lvlJc w:val="left"/>
      <w:pPr>
        <w:pStyle w:val="1127"/>
        <w:ind w:left="900" w:hanging="900"/>
        <w:tabs>
          <w:tab w:val="num" w:pos="900" w:leader="none"/>
        </w:tabs>
      </w:pPr>
      <w:rPr>
        <w:rFonts w:hint="eastAsia"/>
      </w:rPr>
    </w:lvl>
    <w:lvl w:ilvl="4">
      <w:start w:val="1"/>
      <w:numFmt w:val="decimal"/>
      <w:isLgl w:val="false"/>
      <w:suff w:val="tab"/>
      <w:lvlText w:val="%1.%2.%3.%4.%5"/>
      <w:lvlJc w:val="left"/>
      <w:pPr>
        <w:pStyle w:val="1127"/>
        <w:ind w:left="900" w:hanging="900"/>
        <w:tabs>
          <w:tab w:val="num" w:pos="900" w:leader="none"/>
        </w:tabs>
      </w:pPr>
      <w:rPr>
        <w:rFonts w:hint="eastAsia"/>
      </w:rPr>
    </w:lvl>
    <w:lvl w:ilvl="5">
      <w:start w:val="1"/>
      <w:numFmt w:val="decimal"/>
      <w:isLgl w:val="false"/>
      <w:suff w:val="tab"/>
      <w:lvlText w:val="%1.%2.%3.%4.%5.%6"/>
      <w:lvlJc w:val="left"/>
      <w:pPr>
        <w:pStyle w:val="1127"/>
        <w:ind w:left="900" w:hanging="900"/>
        <w:tabs>
          <w:tab w:val="num" w:pos="900" w:leader="none"/>
        </w:tabs>
      </w:pPr>
      <w:rPr>
        <w:rFonts w:hint="eastAsia"/>
      </w:rPr>
    </w:lvl>
    <w:lvl w:ilvl="6">
      <w:start w:val="1"/>
      <w:numFmt w:val="decimal"/>
      <w:isLgl w:val="false"/>
      <w:suff w:val="tab"/>
      <w:lvlText w:val="%1.%2.%3.%4.%5.%6.%7"/>
      <w:lvlJc w:val="left"/>
      <w:pPr>
        <w:pStyle w:val="1127"/>
        <w:ind w:left="900" w:hanging="900"/>
        <w:tabs>
          <w:tab w:val="num" w:pos="900" w:leader="none"/>
        </w:tabs>
      </w:pPr>
      <w:rPr>
        <w:rFonts w:hint="eastAsia"/>
      </w:rPr>
    </w:lvl>
    <w:lvl w:ilvl="7">
      <w:start w:val="1"/>
      <w:numFmt w:val="decimal"/>
      <w:isLgl w:val="false"/>
      <w:suff w:val="tab"/>
      <w:lvlText w:val="%1.%2.%3.%4.%5.%6.%7.%8"/>
      <w:lvlJc w:val="left"/>
      <w:pPr>
        <w:pStyle w:val="1127"/>
        <w:ind w:left="900" w:hanging="900"/>
        <w:tabs>
          <w:tab w:val="num" w:pos="900" w:leader="none"/>
        </w:tabs>
      </w:pPr>
      <w:rPr>
        <w:rFonts w:hint="eastAsia"/>
      </w:rPr>
    </w:lvl>
    <w:lvl w:ilvl="8">
      <w:start w:val="1"/>
      <w:numFmt w:val="decimal"/>
      <w:isLgl w:val="false"/>
      <w:suff w:val="tab"/>
      <w:lvlText w:val="%1.%2.%3.%4.%5.%6.%7.%8.%9"/>
      <w:lvlJc w:val="left"/>
      <w:pPr>
        <w:pStyle w:val="112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27"/>
        <w:ind w:left="900" w:hanging="900"/>
        <w:tabs>
          <w:tab w:val="num" w:pos="900" w:leader="none"/>
        </w:tabs>
      </w:pPr>
      <w:rPr>
        <w:rFonts w:hint="eastAsia"/>
      </w:rPr>
    </w:lvl>
    <w:lvl w:ilvl="1">
      <w:start w:val="1"/>
      <w:numFmt w:val="decimal"/>
      <w:isLgl w:val="false"/>
      <w:suff w:val="tab"/>
      <w:lvlText w:val="%1.%2"/>
      <w:lvlJc w:val="left"/>
      <w:pPr>
        <w:pStyle w:val="112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7"/>
        <w:ind w:left="1980" w:hanging="900"/>
        <w:tabs>
          <w:tab w:val="num" w:pos="1980" w:leader="none"/>
        </w:tabs>
      </w:pPr>
      <w:rPr>
        <w:rFonts w:hint="eastAsia"/>
      </w:rPr>
    </w:lvl>
    <w:lvl w:ilvl="3">
      <w:start w:val="1"/>
      <w:numFmt w:val="decimal"/>
      <w:isLgl w:val="false"/>
      <w:suff w:val="tab"/>
      <w:lvlText w:val="%1.%2.%3.%4"/>
      <w:lvlJc w:val="left"/>
      <w:pPr>
        <w:pStyle w:val="1127"/>
        <w:ind w:left="900" w:hanging="900"/>
        <w:tabs>
          <w:tab w:val="num" w:pos="900" w:leader="none"/>
        </w:tabs>
      </w:pPr>
      <w:rPr>
        <w:rFonts w:hint="eastAsia"/>
      </w:rPr>
    </w:lvl>
    <w:lvl w:ilvl="4">
      <w:start w:val="1"/>
      <w:numFmt w:val="decimal"/>
      <w:isLgl w:val="false"/>
      <w:suff w:val="tab"/>
      <w:lvlText w:val="%1.%2.%3.%4.%5"/>
      <w:lvlJc w:val="left"/>
      <w:pPr>
        <w:pStyle w:val="1127"/>
        <w:ind w:left="900" w:hanging="900"/>
        <w:tabs>
          <w:tab w:val="num" w:pos="900" w:leader="none"/>
        </w:tabs>
      </w:pPr>
      <w:rPr>
        <w:rFonts w:hint="eastAsia"/>
      </w:rPr>
    </w:lvl>
    <w:lvl w:ilvl="5">
      <w:start w:val="1"/>
      <w:numFmt w:val="decimal"/>
      <w:isLgl w:val="false"/>
      <w:suff w:val="tab"/>
      <w:lvlText w:val="%1.%2.%3.%4.%5.%6"/>
      <w:lvlJc w:val="left"/>
      <w:pPr>
        <w:pStyle w:val="1127"/>
        <w:ind w:left="900" w:hanging="900"/>
        <w:tabs>
          <w:tab w:val="num" w:pos="900" w:leader="none"/>
        </w:tabs>
      </w:pPr>
      <w:rPr>
        <w:rFonts w:hint="eastAsia"/>
      </w:rPr>
    </w:lvl>
    <w:lvl w:ilvl="6">
      <w:start w:val="1"/>
      <w:numFmt w:val="decimal"/>
      <w:isLgl w:val="false"/>
      <w:suff w:val="tab"/>
      <w:lvlText w:val="%1.%2.%3.%4.%5.%6.%7"/>
      <w:lvlJc w:val="left"/>
      <w:pPr>
        <w:pStyle w:val="1127"/>
        <w:ind w:left="900" w:hanging="900"/>
        <w:tabs>
          <w:tab w:val="num" w:pos="900" w:leader="none"/>
        </w:tabs>
      </w:pPr>
      <w:rPr>
        <w:rFonts w:hint="eastAsia"/>
      </w:rPr>
    </w:lvl>
    <w:lvl w:ilvl="7">
      <w:start w:val="1"/>
      <w:numFmt w:val="decimal"/>
      <w:isLgl w:val="false"/>
      <w:suff w:val="tab"/>
      <w:lvlText w:val="%1.%2.%3.%4.%5.%6.%7.%8"/>
      <w:lvlJc w:val="left"/>
      <w:pPr>
        <w:pStyle w:val="1127"/>
        <w:ind w:left="900" w:hanging="900"/>
        <w:tabs>
          <w:tab w:val="num" w:pos="900" w:leader="none"/>
        </w:tabs>
      </w:pPr>
      <w:rPr>
        <w:rFonts w:hint="eastAsia"/>
      </w:rPr>
    </w:lvl>
    <w:lvl w:ilvl="8">
      <w:start w:val="1"/>
      <w:numFmt w:val="decimal"/>
      <w:isLgl w:val="false"/>
      <w:suff w:val="tab"/>
      <w:lvlText w:val="%1.%2.%3.%4.%5.%6.%7.%8.%9"/>
      <w:lvlJc w:val="left"/>
      <w:pPr>
        <w:pStyle w:val="1127"/>
        <w:ind w:left="900" w:hanging="900"/>
        <w:tabs>
          <w:tab w:val="num" w:pos="900" w:leader="none"/>
        </w:tabs>
      </w:pPr>
      <w:rPr>
        <w:rFonts w:hint="eastAsia"/>
      </w:rPr>
    </w:lvl>
  </w:abstractNum>
  <w:num w:numId="1">
    <w:abstractNumId w:val="4"/>
  </w:num>
  <w:num w:numId="2">
    <w:abstractNumId w:val="8"/>
  </w:num>
  <w:num w:numId="3">
    <w:abstractNumId w:val="1"/>
  </w:num>
  <w:num w:numId="4">
    <w:abstractNumId w:val="7"/>
  </w:num>
  <w:num w:numId="5">
    <w:abstractNumId w:val="2"/>
  </w:num>
  <w:num w:numId="6">
    <w:abstractNumId w:val="5"/>
  </w:num>
  <w:num w:numId="7">
    <w:abstractNumId w:val="3"/>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name w:val="Heading 1"/>
    <w:basedOn w:val="1127"/>
    <w:next w:val="1127"/>
    <w:link w:val="951"/>
    <w:uiPriority w:val="9"/>
    <w:qFormat/>
    <w:pPr>
      <w:keepLines/>
      <w:keepNext/>
      <w:spacing w:before="480" w:after="200"/>
      <w:outlineLvl w:val="0"/>
    </w:pPr>
    <w:rPr>
      <w:rFonts w:ascii="Arial" w:hAnsi="Arial" w:eastAsia="Arial" w:cs="Arial"/>
      <w:sz w:val="40"/>
      <w:szCs w:val="40"/>
    </w:rPr>
  </w:style>
  <w:style w:type="character" w:styleId="951">
    <w:name w:val="Heading 1 Char"/>
    <w:link w:val="950"/>
    <w:uiPriority w:val="9"/>
    <w:rPr>
      <w:rFonts w:ascii="Arial" w:hAnsi="Arial" w:eastAsia="Arial" w:cs="Arial"/>
      <w:sz w:val="40"/>
      <w:szCs w:val="40"/>
    </w:rPr>
  </w:style>
  <w:style w:type="paragraph" w:styleId="952">
    <w:name w:val="Heading 2"/>
    <w:basedOn w:val="1127"/>
    <w:next w:val="1127"/>
    <w:link w:val="953"/>
    <w:uiPriority w:val="9"/>
    <w:unhideWhenUsed/>
    <w:qFormat/>
    <w:pPr>
      <w:keepLines/>
      <w:keepNext/>
      <w:spacing w:before="360" w:after="200"/>
      <w:outlineLvl w:val="1"/>
    </w:pPr>
    <w:rPr>
      <w:rFonts w:ascii="Arial" w:hAnsi="Arial" w:eastAsia="Arial" w:cs="Arial"/>
      <w:sz w:val="34"/>
    </w:rPr>
  </w:style>
  <w:style w:type="character" w:styleId="953">
    <w:name w:val="Heading 2 Char"/>
    <w:link w:val="952"/>
    <w:uiPriority w:val="9"/>
    <w:rPr>
      <w:rFonts w:ascii="Arial" w:hAnsi="Arial" w:eastAsia="Arial" w:cs="Arial"/>
      <w:sz w:val="34"/>
    </w:rPr>
  </w:style>
  <w:style w:type="paragraph" w:styleId="954">
    <w:name w:val="Heading 3"/>
    <w:basedOn w:val="1127"/>
    <w:next w:val="1127"/>
    <w:link w:val="955"/>
    <w:uiPriority w:val="9"/>
    <w:unhideWhenUsed/>
    <w:qFormat/>
    <w:pPr>
      <w:keepLines/>
      <w:keepNext/>
      <w:spacing w:before="320" w:after="200"/>
      <w:outlineLvl w:val="2"/>
    </w:pPr>
    <w:rPr>
      <w:rFonts w:ascii="Arial" w:hAnsi="Arial" w:eastAsia="Arial" w:cs="Arial"/>
      <w:sz w:val="30"/>
      <w:szCs w:val="30"/>
    </w:rPr>
  </w:style>
  <w:style w:type="character" w:styleId="955">
    <w:name w:val="Heading 3 Char"/>
    <w:link w:val="954"/>
    <w:uiPriority w:val="9"/>
    <w:rPr>
      <w:rFonts w:ascii="Arial" w:hAnsi="Arial" w:eastAsia="Arial" w:cs="Arial"/>
      <w:sz w:val="30"/>
      <w:szCs w:val="30"/>
    </w:rPr>
  </w:style>
  <w:style w:type="paragraph" w:styleId="956">
    <w:name w:val="Heading 4"/>
    <w:basedOn w:val="1127"/>
    <w:next w:val="1127"/>
    <w:link w:val="957"/>
    <w:uiPriority w:val="9"/>
    <w:unhideWhenUsed/>
    <w:qFormat/>
    <w:pPr>
      <w:keepLines/>
      <w:keepNext/>
      <w:spacing w:before="320" w:after="200"/>
      <w:outlineLvl w:val="3"/>
    </w:pPr>
    <w:rPr>
      <w:rFonts w:ascii="Arial" w:hAnsi="Arial" w:eastAsia="Arial" w:cs="Arial"/>
      <w:b/>
      <w:bCs/>
      <w:sz w:val="26"/>
      <w:szCs w:val="26"/>
    </w:rPr>
  </w:style>
  <w:style w:type="character" w:styleId="957">
    <w:name w:val="Heading 4 Char"/>
    <w:link w:val="956"/>
    <w:uiPriority w:val="9"/>
    <w:rPr>
      <w:rFonts w:ascii="Arial" w:hAnsi="Arial" w:eastAsia="Arial" w:cs="Arial"/>
      <w:b/>
      <w:bCs/>
      <w:sz w:val="26"/>
      <w:szCs w:val="26"/>
    </w:rPr>
  </w:style>
  <w:style w:type="paragraph" w:styleId="958">
    <w:name w:val="Heading 5"/>
    <w:basedOn w:val="1127"/>
    <w:next w:val="1127"/>
    <w:link w:val="959"/>
    <w:uiPriority w:val="9"/>
    <w:unhideWhenUsed/>
    <w:qFormat/>
    <w:pPr>
      <w:keepLines/>
      <w:keepNext/>
      <w:spacing w:before="320" w:after="200"/>
      <w:outlineLvl w:val="4"/>
    </w:pPr>
    <w:rPr>
      <w:rFonts w:ascii="Arial" w:hAnsi="Arial" w:eastAsia="Arial" w:cs="Arial"/>
      <w:b/>
      <w:bCs/>
      <w:sz w:val="24"/>
      <w:szCs w:val="24"/>
    </w:rPr>
  </w:style>
  <w:style w:type="character" w:styleId="959">
    <w:name w:val="Heading 5 Char"/>
    <w:link w:val="958"/>
    <w:uiPriority w:val="9"/>
    <w:rPr>
      <w:rFonts w:ascii="Arial" w:hAnsi="Arial" w:eastAsia="Arial" w:cs="Arial"/>
      <w:b/>
      <w:bCs/>
      <w:sz w:val="24"/>
      <w:szCs w:val="24"/>
    </w:rPr>
  </w:style>
  <w:style w:type="paragraph" w:styleId="960">
    <w:name w:val="Heading 6"/>
    <w:basedOn w:val="1127"/>
    <w:next w:val="1127"/>
    <w:link w:val="961"/>
    <w:uiPriority w:val="9"/>
    <w:unhideWhenUsed/>
    <w:qFormat/>
    <w:pPr>
      <w:keepLines/>
      <w:keepNext/>
      <w:spacing w:before="320" w:after="200"/>
      <w:outlineLvl w:val="5"/>
    </w:pPr>
    <w:rPr>
      <w:rFonts w:ascii="Arial" w:hAnsi="Arial" w:eastAsia="Arial" w:cs="Arial"/>
      <w:b/>
      <w:bCs/>
      <w:sz w:val="22"/>
      <w:szCs w:val="22"/>
    </w:rPr>
  </w:style>
  <w:style w:type="character" w:styleId="961">
    <w:name w:val="Heading 6 Char"/>
    <w:link w:val="960"/>
    <w:uiPriority w:val="9"/>
    <w:rPr>
      <w:rFonts w:ascii="Arial" w:hAnsi="Arial" w:eastAsia="Arial" w:cs="Arial"/>
      <w:b/>
      <w:bCs/>
      <w:sz w:val="22"/>
      <w:szCs w:val="22"/>
    </w:rPr>
  </w:style>
  <w:style w:type="paragraph" w:styleId="962">
    <w:name w:val="Heading 7"/>
    <w:basedOn w:val="1127"/>
    <w:next w:val="1127"/>
    <w:link w:val="963"/>
    <w:uiPriority w:val="9"/>
    <w:unhideWhenUsed/>
    <w:qFormat/>
    <w:pPr>
      <w:keepLines/>
      <w:keepNext/>
      <w:spacing w:before="320" w:after="200"/>
      <w:outlineLvl w:val="6"/>
    </w:pPr>
    <w:rPr>
      <w:rFonts w:ascii="Arial" w:hAnsi="Arial" w:eastAsia="Arial" w:cs="Arial"/>
      <w:b/>
      <w:bCs/>
      <w:i/>
      <w:iCs/>
      <w:sz w:val="22"/>
      <w:szCs w:val="22"/>
    </w:rPr>
  </w:style>
  <w:style w:type="character" w:styleId="963">
    <w:name w:val="Heading 7 Char"/>
    <w:link w:val="962"/>
    <w:uiPriority w:val="9"/>
    <w:rPr>
      <w:rFonts w:ascii="Arial" w:hAnsi="Arial" w:eastAsia="Arial" w:cs="Arial"/>
      <w:b/>
      <w:bCs/>
      <w:i/>
      <w:iCs/>
      <w:sz w:val="22"/>
      <w:szCs w:val="22"/>
    </w:rPr>
  </w:style>
  <w:style w:type="paragraph" w:styleId="964">
    <w:name w:val="Heading 8"/>
    <w:basedOn w:val="1127"/>
    <w:next w:val="1127"/>
    <w:link w:val="965"/>
    <w:uiPriority w:val="9"/>
    <w:unhideWhenUsed/>
    <w:qFormat/>
    <w:pPr>
      <w:keepLines/>
      <w:keepNext/>
      <w:spacing w:before="320" w:after="200"/>
      <w:outlineLvl w:val="7"/>
    </w:pPr>
    <w:rPr>
      <w:rFonts w:ascii="Arial" w:hAnsi="Arial" w:eastAsia="Arial" w:cs="Arial"/>
      <w:i/>
      <w:iCs/>
      <w:sz w:val="22"/>
      <w:szCs w:val="22"/>
    </w:rPr>
  </w:style>
  <w:style w:type="character" w:styleId="965">
    <w:name w:val="Heading 8 Char"/>
    <w:link w:val="964"/>
    <w:uiPriority w:val="9"/>
    <w:rPr>
      <w:rFonts w:ascii="Arial" w:hAnsi="Arial" w:eastAsia="Arial" w:cs="Arial"/>
      <w:i/>
      <w:iCs/>
      <w:sz w:val="22"/>
      <w:szCs w:val="22"/>
    </w:rPr>
  </w:style>
  <w:style w:type="paragraph" w:styleId="966">
    <w:name w:val="Heading 9"/>
    <w:basedOn w:val="1127"/>
    <w:next w:val="1127"/>
    <w:link w:val="967"/>
    <w:uiPriority w:val="9"/>
    <w:unhideWhenUsed/>
    <w:qFormat/>
    <w:pPr>
      <w:keepLines/>
      <w:keepNext/>
      <w:spacing w:before="320" w:after="200"/>
      <w:outlineLvl w:val="8"/>
    </w:pPr>
    <w:rPr>
      <w:rFonts w:ascii="Arial" w:hAnsi="Arial" w:eastAsia="Arial" w:cs="Arial"/>
      <w:i/>
      <w:iCs/>
      <w:sz w:val="21"/>
      <w:szCs w:val="21"/>
    </w:rPr>
  </w:style>
  <w:style w:type="character" w:styleId="967">
    <w:name w:val="Heading 9 Char"/>
    <w:link w:val="966"/>
    <w:uiPriority w:val="9"/>
    <w:rPr>
      <w:rFonts w:ascii="Arial" w:hAnsi="Arial" w:eastAsia="Arial" w:cs="Arial"/>
      <w:i/>
      <w:iCs/>
      <w:sz w:val="21"/>
      <w:szCs w:val="21"/>
    </w:rPr>
  </w:style>
  <w:style w:type="paragraph" w:styleId="968">
    <w:name w:val="No Spacing"/>
    <w:uiPriority w:val="1"/>
    <w:qFormat/>
    <w:pPr>
      <w:spacing w:before="0" w:after="0" w:line="240" w:lineRule="auto"/>
    </w:pPr>
  </w:style>
  <w:style w:type="paragraph" w:styleId="969">
    <w:name w:val="Title"/>
    <w:basedOn w:val="1127"/>
    <w:next w:val="1127"/>
    <w:link w:val="970"/>
    <w:uiPriority w:val="10"/>
    <w:qFormat/>
    <w:pPr>
      <w:contextualSpacing/>
      <w:spacing w:before="300" w:after="200"/>
    </w:pPr>
    <w:rPr>
      <w:sz w:val="48"/>
      <w:szCs w:val="48"/>
    </w:rPr>
  </w:style>
  <w:style w:type="character" w:styleId="970">
    <w:name w:val="Title Char"/>
    <w:link w:val="969"/>
    <w:uiPriority w:val="10"/>
    <w:rPr>
      <w:sz w:val="48"/>
      <w:szCs w:val="48"/>
    </w:rPr>
  </w:style>
  <w:style w:type="paragraph" w:styleId="971">
    <w:name w:val="Subtitle"/>
    <w:basedOn w:val="1127"/>
    <w:next w:val="1127"/>
    <w:link w:val="972"/>
    <w:uiPriority w:val="11"/>
    <w:qFormat/>
    <w:pPr>
      <w:spacing w:before="200" w:after="200"/>
    </w:pPr>
    <w:rPr>
      <w:sz w:val="24"/>
      <w:szCs w:val="24"/>
    </w:rPr>
  </w:style>
  <w:style w:type="character" w:styleId="972">
    <w:name w:val="Subtitle Char"/>
    <w:link w:val="971"/>
    <w:uiPriority w:val="11"/>
    <w:rPr>
      <w:sz w:val="24"/>
      <w:szCs w:val="24"/>
    </w:rPr>
  </w:style>
  <w:style w:type="paragraph" w:styleId="973">
    <w:name w:val="Quote"/>
    <w:basedOn w:val="1127"/>
    <w:next w:val="1127"/>
    <w:link w:val="974"/>
    <w:uiPriority w:val="29"/>
    <w:qFormat/>
    <w:pPr>
      <w:ind w:left="720" w:right="720"/>
    </w:pPr>
    <w:rPr>
      <w:i/>
    </w:rPr>
  </w:style>
  <w:style w:type="character" w:styleId="974">
    <w:name w:val="Quote Char"/>
    <w:link w:val="973"/>
    <w:uiPriority w:val="29"/>
    <w:rPr>
      <w:i/>
    </w:rPr>
  </w:style>
  <w:style w:type="paragraph" w:styleId="975">
    <w:name w:val="Intense Quote"/>
    <w:basedOn w:val="1127"/>
    <w:next w:val="1127"/>
    <w:link w:val="9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name w:val="Intense Quote Char"/>
    <w:link w:val="975"/>
    <w:uiPriority w:val="30"/>
    <w:rPr>
      <w:i/>
    </w:rPr>
  </w:style>
  <w:style w:type="paragraph" w:styleId="977">
    <w:name w:val="Header"/>
    <w:basedOn w:val="1127"/>
    <w:link w:val="978"/>
    <w:uiPriority w:val="99"/>
    <w:unhideWhenUsed/>
    <w:pPr>
      <w:spacing w:after="0" w:line="240" w:lineRule="auto"/>
      <w:tabs>
        <w:tab w:val="center" w:pos="7143" w:leader="none"/>
        <w:tab w:val="right" w:pos="14287" w:leader="none"/>
      </w:tabs>
    </w:pPr>
  </w:style>
  <w:style w:type="character" w:styleId="978">
    <w:name w:val="Header Char"/>
    <w:link w:val="977"/>
    <w:uiPriority w:val="99"/>
  </w:style>
  <w:style w:type="paragraph" w:styleId="979">
    <w:name w:val="Footer"/>
    <w:basedOn w:val="1127"/>
    <w:link w:val="982"/>
    <w:uiPriority w:val="99"/>
    <w:unhideWhenUsed/>
    <w:pPr>
      <w:spacing w:after="0" w:line="240" w:lineRule="auto"/>
      <w:tabs>
        <w:tab w:val="center" w:pos="7143" w:leader="none"/>
        <w:tab w:val="right" w:pos="14287" w:leader="none"/>
      </w:tabs>
    </w:pPr>
  </w:style>
  <w:style w:type="character" w:styleId="980">
    <w:name w:val="Footer Char"/>
    <w:link w:val="979"/>
    <w:uiPriority w:val="99"/>
  </w:style>
  <w:style w:type="paragraph" w:styleId="981">
    <w:name w:val="Caption"/>
    <w:basedOn w:val="1127"/>
    <w:next w:val="1127"/>
    <w:uiPriority w:val="35"/>
    <w:semiHidden/>
    <w:unhideWhenUsed/>
    <w:qFormat/>
    <w:pPr>
      <w:spacing w:line="276" w:lineRule="auto"/>
    </w:pPr>
    <w:rPr>
      <w:b/>
      <w:bCs/>
      <w:color w:val="4f81bd" w:themeColor="accent1"/>
      <w:sz w:val="18"/>
      <w:szCs w:val="18"/>
    </w:rPr>
  </w:style>
  <w:style w:type="character" w:styleId="982">
    <w:name w:val="Caption Char"/>
    <w:basedOn w:val="981"/>
    <w:link w:val="979"/>
    <w:uiPriority w:val="99"/>
  </w:style>
  <w:style w:type="table" w:styleId="9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9">
    <w:name w:val="Hyperlink"/>
    <w:uiPriority w:val="99"/>
    <w:unhideWhenUsed/>
    <w:rPr>
      <w:color w:val="0000ff" w:themeColor="hyperlink"/>
      <w:u w:val="single"/>
    </w:rPr>
  </w:style>
  <w:style w:type="paragraph" w:styleId="1110">
    <w:name w:val="footnote text"/>
    <w:basedOn w:val="1127"/>
    <w:link w:val="1111"/>
    <w:uiPriority w:val="99"/>
    <w:semiHidden/>
    <w:unhideWhenUsed/>
    <w:pPr>
      <w:spacing w:after="40" w:line="240" w:lineRule="auto"/>
    </w:pPr>
    <w:rPr>
      <w:sz w:val="18"/>
    </w:rPr>
  </w:style>
  <w:style w:type="character" w:styleId="1111">
    <w:name w:val="Footnote Text Char"/>
    <w:link w:val="1110"/>
    <w:uiPriority w:val="99"/>
    <w:rPr>
      <w:sz w:val="18"/>
    </w:rPr>
  </w:style>
  <w:style w:type="character" w:styleId="1112">
    <w:name w:val="footnote reference"/>
    <w:uiPriority w:val="99"/>
    <w:unhideWhenUsed/>
    <w:rPr>
      <w:vertAlign w:val="superscript"/>
    </w:rPr>
  </w:style>
  <w:style w:type="paragraph" w:styleId="1113">
    <w:name w:val="endnote text"/>
    <w:basedOn w:val="1127"/>
    <w:link w:val="1114"/>
    <w:uiPriority w:val="99"/>
    <w:semiHidden/>
    <w:unhideWhenUsed/>
    <w:pPr>
      <w:spacing w:after="0" w:line="240" w:lineRule="auto"/>
    </w:pPr>
    <w:rPr>
      <w:sz w:val="20"/>
    </w:rPr>
  </w:style>
  <w:style w:type="character" w:styleId="1114">
    <w:name w:val="Endnote Text Char"/>
    <w:link w:val="1113"/>
    <w:uiPriority w:val="99"/>
    <w:rPr>
      <w:sz w:val="20"/>
    </w:rPr>
  </w:style>
  <w:style w:type="character" w:styleId="1115">
    <w:name w:val="endnote reference"/>
    <w:uiPriority w:val="99"/>
    <w:semiHidden/>
    <w:unhideWhenUsed/>
    <w:rPr>
      <w:vertAlign w:val="superscript"/>
    </w:rPr>
  </w:style>
  <w:style w:type="paragraph" w:styleId="1116">
    <w:name w:val="toc 1"/>
    <w:basedOn w:val="1127"/>
    <w:next w:val="1127"/>
    <w:uiPriority w:val="39"/>
    <w:unhideWhenUsed/>
    <w:pPr>
      <w:ind w:left="0" w:right="0" w:firstLine="0"/>
      <w:spacing w:after="57"/>
    </w:pPr>
  </w:style>
  <w:style w:type="paragraph" w:styleId="1117">
    <w:name w:val="toc 2"/>
    <w:basedOn w:val="1127"/>
    <w:next w:val="1127"/>
    <w:uiPriority w:val="39"/>
    <w:unhideWhenUsed/>
    <w:pPr>
      <w:ind w:left="283" w:right="0" w:firstLine="0"/>
      <w:spacing w:after="57"/>
    </w:pPr>
  </w:style>
  <w:style w:type="paragraph" w:styleId="1118">
    <w:name w:val="toc 3"/>
    <w:basedOn w:val="1127"/>
    <w:next w:val="1127"/>
    <w:uiPriority w:val="39"/>
    <w:unhideWhenUsed/>
    <w:pPr>
      <w:ind w:left="567" w:right="0" w:firstLine="0"/>
      <w:spacing w:after="57"/>
    </w:pPr>
  </w:style>
  <w:style w:type="paragraph" w:styleId="1119">
    <w:name w:val="toc 4"/>
    <w:basedOn w:val="1127"/>
    <w:next w:val="1127"/>
    <w:uiPriority w:val="39"/>
    <w:unhideWhenUsed/>
    <w:pPr>
      <w:ind w:left="850" w:right="0" w:firstLine="0"/>
      <w:spacing w:after="57"/>
    </w:pPr>
  </w:style>
  <w:style w:type="paragraph" w:styleId="1120">
    <w:name w:val="toc 5"/>
    <w:basedOn w:val="1127"/>
    <w:next w:val="1127"/>
    <w:uiPriority w:val="39"/>
    <w:unhideWhenUsed/>
    <w:pPr>
      <w:ind w:left="1134" w:right="0" w:firstLine="0"/>
      <w:spacing w:after="57"/>
    </w:pPr>
  </w:style>
  <w:style w:type="paragraph" w:styleId="1121">
    <w:name w:val="toc 6"/>
    <w:basedOn w:val="1127"/>
    <w:next w:val="1127"/>
    <w:uiPriority w:val="39"/>
    <w:unhideWhenUsed/>
    <w:pPr>
      <w:ind w:left="1417" w:right="0" w:firstLine="0"/>
      <w:spacing w:after="57"/>
    </w:pPr>
  </w:style>
  <w:style w:type="paragraph" w:styleId="1122">
    <w:name w:val="toc 7"/>
    <w:basedOn w:val="1127"/>
    <w:next w:val="1127"/>
    <w:uiPriority w:val="39"/>
    <w:unhideWhenUsed/>
    <w:pPr>
      <w:ind w:left="1701" w:right="0" w:firstLine="0"/>
      <w:spacing w:after="57"/>
    </w:pPr>
  </w:style>
  <w:style w:type="paragraph" w:styleId="1123">
    <w:name w:val="toc 8"/>
    <w:basedOn w:val="1127"/>
    <w:next w:val="1127"/>
    <w:uiPriority w:val="39"/>
    <w:unhideWhenUsed/>
    <w:pPr>
      <w:ind w:left="1984" w:right="0" w:firstLine="0"/>
      <w:spacing w:after="57"/>
    </w:pPr>
  </w:style>
  <w:style w:type="paragraph" w:styleId="1124">
    <w:name w:val="toc 9"/>
    <w:basedOn w:val="1127"/>
    <w:next w:val="1127"/>
    <w:uiPriority w:val="39"/>
    <w:unhideWhenUsed/>
    <w:pPr>
      <w:ind w:left="2268" w:right="0" w:firstLine="0"/>
      <w:spacing w:after="57"/>
    </w:pPr>
  </w:style>
  <w:style w:type="paragraph" w:styleId="1125">
    <w:name w:val="TOC Heading"/>
    <w:uiPriority w:val="39"/>
    <w:unhideWhenUsed/>
  </w:style>
  <w:style w:type="paragraph" w:styleId="1126">
    <w:name w:val="table of figures"/>
    <w:basedOn w:val="1127"/>
    <w:next w:val="1127"/>
    <w:uiPriority w:val="99"/>
    <w:unhideWhenUsed/>
    <w:pPr>
      <w:spacing w:after="0" w:afterAutospacing="0"/>
    </w:pPr>
  </w:style>
  <w:style w:type="paragraph" w:styleId="1127" w:default="1">
    <w:name w:val="Normal"/>
    <w:next w:val="1127"/>
    <w:link w:val="1127"/>
    <w:qFormat/>
    <w:pPr>
      <w:jc w:val="both"/>
      <w:widowControl w:val="off"/>
    </w:pPr>
    <w:rPr>
      <w:sz w:val="21"/>
      <w:szCs w:val="24"/>
      <w:lang w:val="en-US" w:eastAsia="zh-CN" w:bidi="ar-SA"/>
    </w:rPr>
  </w:style>
  <w:style w:type="paragraph" w:styleId="1128">
    <w:name w:val="标题 1"/>
    <w:basedOn w:val="1127"/>
    <w:next w:val="1127"/>
    <w:link w:val="1139"/>
    <w:qFormat/>
    <w:pPr>
      <w:jc w:val="center"/>
      <w:keepLines/>
      <w:keepNext/>
      <w:spacing w:before="240" w:after="120" w:line="300" w:lineRule="auto"/>
      <w:outlineLvl w:val="0"/>
    </w:pPr>
    <w:rPr>
      <w:rFonts w:ascii="宋体"/>
      <w:b/>
      <w:sz w:val="32"/>
      <w:szCs w:val="20"/>
    </w:rPr>
  </w:style>
  <w:style w:type="paragraph" w:styleId="1129">
    <w:name w:val="标题 2"/>
    <w:basedOn w:val="1127"/>
    <w:next w:val="1141"/>
    <w:link w:val="1140"/>
    <w:qFormat/>
    <w:pPr>
      <w:jc w:val="center"/>
      <w:keepLines/>
      <w:keepNext/>
      <w:spacing w:before="120" w:line="300" w:lineRule="auto"/>
      <w:outlineLvl w:val="1"/>
    </w:pPr>
    <w:rPr>
      <w:rFonts w:ascii="Arial" w:hAnsi="Arial" w:eastAsia="黑体"/>
      <w:b/>
      <w:sz w:val="30"/>
      <w:szCs w:val="20"/>
    </w:rPr>
  </w:style>
  <w:style w:type="paragraph" w:styleId="1130">
    <w:name w:val="标题 3"/>
    <w:basedOn w:val="1127"/>
    <w:next w:val="1127"/>
    <w:link w:val="1147"/>
    <w:qFormat/>
    <w:pPr>
      <w:jc w:val="left"/>
      <w:keepLines/>
      <w:keepNext/>
      <w:spacing w:before="360" w:after="120"/>
      <w:outlineLvl w:val="2"/>
    </w:pPr>
    <w:rPr>
      <w:rFonts w:ascii="宋体"/>
      <w:b/>
      <w:sz w:val="24"/>
      <w:szCs w:val="20"/>
      <w:u w:val="single"/>
    </w:rPr>
  </w:style>
  <w:style w:type="paragraph" w:styleId="1131">
    <w:name w:val="标题 4"/>
    <w:basedOn w:val="1127"/>
    <w:next w:val="1141"/>
    <w:link w:val="1148"/>
    <w:qFormat/>
    <w:pPr>
      <w:keepLines/>
      <w:keepNext/>
      <w:spacing w:before="280" w:after="290" w:line="376" w:lineRule="atLeast"/>
      <w:outlineLvl w:val="3"/>
    </w:pPr>
    <w:rPr>
      <w:rFonts w:ascii="Arial" w:hAnsi="Arial" w:eastAsia="黑体"/>
      <w:b/>
      <w:sz w:val="28"/>
      <w:szCs w:val="20"/>
    </w:rPr>
  </w:style>
  <w:style w:type="paragraph" w:styleId="1132">
    <w:name w:val="标题 5"/>
    <w:basedOn w:val="1127"/>
    <w:next w:val="1127"/>
    <w:link w:val="1149"/>
    <w:qFormat/>
    <w:pPr>
      <w:keepLines/>
      <w:keepNext/>
      <w:spacing w:before="280" w:after="290" w:line="376" w:lineRule="atLeast"/>
      <w:outlineLvl w:val="4"/>
    </w:pPr>
    <w:rPr>
      <w:b/>
      <w:sz w:val="28"/>
      <w:szCs w:val="20"/>
    </w:rPr>
  </w:style>
  <w:style w:type="paragraph" w:styleId="1133">
    <w:name w:val="标题 6"/>
    <w:basedOn w:val="1127"/>
    <w:next w:val="1127"/>
    <w:link w:val="1150"/>
    <w:qFormat/>
    <w:pPr>
      <w:keepLines/>
      <w:keepNext/>
      <w:spacing w:before="240" w:after="64" w:line="320" w:lineRule="atLeast"/>
      <w:outlineLvl w:val="5"/>
    </w:pPr>
    <w:rPr>
      <w:rFonts w:ascii="Arial" w:hAnsi="Arial" w:eastAsia="黑体"/>
      <w:b/>
      <w:sz w:val="24"/>
      <w:szCs w:val="20"/>
    </w:rPr>
  </w:style>
  <w:style w:type="paragraph" w:styleId="1134">
    <w:name w:val="标题 7"/>
    <w:basedOn w:val="1127"/>
    <w:next w:val="1127"/>
    <w:link w:val="1151"/>
    <w:qFormat/>
    <w:pPr>
      <w:keepLines/>
      <w:keepNext/>
      <w:spacing w:before="240" w:after="64" w:line="320" w:lineRule="atLeast"/>
      <w:outlineLvl w:val="6"/>
    </w:pPr>
    <w:rPr>
      <w:b/>
      <w:sz w:val="24"/>
      <w:szCs w:val="20"/>
    </w:rPr>
  </w:style>
  <w:style w:type="paragraph" w:styleId="1135">
    <w:name w:val="标题 8"/>
    <w:basedOn w:val="1127"/>
    <w:next w:val="1127"/>
    <w:link w:val="1152"/>
    <w:qFormat/>
    <w:pPr>
      <w:keepLines/>
      <w:keepNext/>
      <w:spacing w:before="240" w:after="64" w:line="320" w:lineRule="atLeast"/>
      <w:outlineLvl w:val="7"/>
    </w:pPr>
    <w:rPr>
      <w:rFonts w:ascii="Arial" w:hAnsi="Arial" w:eastAsia="黑体"/>
      <w:sz w:val="24"/>
      <w:szCs w:val="20"/>
    </w:rPr>
  </w:style>
  <w:style w:type="paragraph" w:styleId="1136">
    <w:name w:val="标题 9"/>
    <w:basedOn w:val="1127"/>
    <w:next w:val="1127"/>
    <w:link w:val="1153"/>
    <w:qFormat/>
    <w:pPr>
      <w:keepLines/>
      <w:keepNext/>
      <w:spacing w:before="240" w:after="64" w:line="320" w:lineRule="atLeast"/>
      <w:outlineLvl w:val="8"/>
    </w:pPr>
    <w:rPr>
      <w:rFonts w:ascii="Arial" w:hAnsi="Arial" w:eastAsia="黑体"/>
      <w:szCs w:val="20"/>
    </w:rPr>
  </w:style>
  <w:style w:type="character" w:styleId="1137">
    <w:name w:val="默认段落字体"/>
    <w:next w:val="1137"/>
    <w:link w:val="1127"/>
    <w:uiPriority w:val="1"/>
    <w:unhideWhenUsed/>
    <w:qFormat/>
  </w:style>
  <w:style w:type="table" w:styleId="1138">
    <w:name w:val="普通表格"/>
    <w:next w:val="1138"/>
    <w:link w:val="1127"/>
    <w:uiPriority w:val="99"/>
    <w:unhideWhenUsed/>
    <w:qFormat/>
    <w:tblPr/>
  </w:style>
  <w:style w:type="character" w:styleId="1139">
    <w:name w:val="标题 1 Char"/>
    <w:basedOn w:val="1137"/>
    <w:next w:val="1139"/>
    <w:link w:val="1128"/>
    <w:qFormat/>
    <w:rPr>
      <w:rFonts w:ascii="宋体"/>
      <w:b/>
      <w:sz w:val="32"/>
    </w:rPr>
  </w:style>
  <w:style w:type="character" w:styleId="1140">
    <w:name w:val="标题 2 Char1"/>
    <w:next w:val="1140"/>
    <w:link w:val="1129"/>
    <w:qFormat/>
    <w:rPr>
      <w:rFonts w:ascii="Arial" w:hAnsi="Arial" w:eastAsia="黑体"/>
      <w:b/>
      <w:sz w:val="30"/>
      <w:lang w:val="en-US" w:eastAsia="zh-CN" w:bidi="ar-SA"/>
    </w:rPr>
  </w:style>
  <w:style w:type="paragraph" w:styleId="1141">
    <w:name w:val="正文缩进"/>
    <w:basedOn w:val="1127"/>
    <w:next w:val="1143"/>
    <w:link w:val="1142"/>
    <w:qFormat/>
    <w:pPr>
      <w:ind w:firstLine="420"/>
      <w:jc w:val="left"/>
    </w:pPr>
    <w:rPr>
      <w:rFonts w:ascii="宋体"/>
      <w:sz w:val="24"/>
    </w:rPr>
  </w:style>
  <w:style w:type="character" w:styleId="1142">
    <w:name w:val="正文缩进 Char1"/>
    <w:next w:val="1142"/>
    <w:link w:val="1141"/>
    <w:qFormat/>
    <w:rPr>
      <w:rFonts w:ascii="宋体" w:eastAsia="宋体"/>
      <w:sz w:val="24"/>
      <w:szCs w:val="24"/>
      <w:lang w:val="en-US" w:eastAsia="zh-CN" w:bidi="ar-SA"/>
    </w:rPr>
  </w:style>
  <w:style w:type="paragraph" w:styleId="1143">
    <w:name w:val="正文首行缩进 2"/>
    <w:basedOn w:val="1144"/>
    <w:next w:val="1127"/>
    <w:link w:val="1146"/>
    <w:qFormat/>
    <w:pPr>
      <w:ind w:left="420" w:firstLine="420"/>
      <w:spacing w:after="120" w:line="480" w:lineRule="exact"/>
    </w:pPr>
    <w:rPr>
      <w:szCs w:val="20"/>
    </w:rPr>
  </w:style>
  <w:style w:type="paragraph" w:styleId="1144">
    <w:name w:val="正文文本缩进"/>
    <w:basedOn w:val="1127"/>
    <w:next w:val="1127"/>
    <w:link w:val="1145"/>
    <w:qFormat/>
    <w:pPr>
      <w:ind w:firstLine="570"/>
      <w:spacing w:line="360" w:lineRule="auto"/>
    </w:pPr>
    <w:rPr>
      <w:sz w:val="24"/>
    </w:rPr>
  </w:style>
  <w:style w:type="character" w:styleId="1145">
    <w:name w:val="正文文本缩进 Char2"/>
    <w:next w:val="1145"/>
    <w:link w:val="1144"/>
    <w:qFormat/>
    <w:rPr>
      <w:rFonts w:eastAsia="宋体"/>
      <w:sz w:val="24"/>
      <w:szCs w:val="24"/>
      <w:lang w:val="en-US" w:eastAsia="zh-CN" w:bidi="ar-SA"/>
    </w:rPr>
  </w:style>
  <w:style w:type="character" w:styleId="1146">
    <w:name w:val="正文首行缩进 2 Char"/>
    <w:basedOn w:val="1145"/>
    <w:next w:val="1146"/>
    <w:link w:val="1143"/>
    <w:qFormat/>
    <w:rPr>
      <w:rFonts w:eastAsia="宋体"/>
      <w:sz w:val="24"/>
      <w:szCs w:val="24"/>
      <w:lang w:val="en-US" w:eastAsia="zh-CN" w:bidi="ar-SA"/>
    </w:rPr>
  </w:style>
  <w:style w:type="character" w:styleId="1147">
    <w:name w:val="标题 3 Char1"/>
    <w:next w:val="1147"/>
    <w:link w:val="1130"/>
    <w:qFormat/>
    <w:rPr>
      <w:rFonts w:ascii="宋体" w:eastAsia="宋体"/>
      <w:b/>
      <w:sz w:val="24"/>
      <w:u w:val="single"/>
      <w:lang w:val="en-US" w:eastAsia="zh-CN" w:bidi="ar-SA"/>
    </w:rPr>
  </w:style>
  <w:style w:type="character" w:styleId="1148">
    <w:name w:val="标题 4 Char"/>
    <w:basedOn w:val="1137"/>
    <w:next w:val="1148"/>
    <w:link w:val="1131"/>
    <w:qFormat/>
    <w:rPr>
      <w:rFonts w:ascii="Arial" w:hAnsi="Arial" w:eastAsia="黑体"/>
      <w:b/>
      <w:sz w:val="28"/>
    </w:rPr>
  </w:style>
  <w:style w:type="character" w:styleId="1149">
    <w:name w:val="标题 5 Char"/>
    <w:basedOn w:val="1137"/>
    <w:next w:val="1149"/>
    <w:link w:val="1132"/>
    <w:qFormat/>
    <w:rPr>
      <w:b/>
      <w:sz w:val="28"/>
    </w:rPr>
  </w:style>
  <w:style w:type="character" w:styleId="1150">
    <w:name w:val="标题 6 Char"/>
    <w:basedOn w:val="1137"/>
    <w:next w:val="1150"/>
    <w:link w:val="1133"/>
    <w:qFormat/>
    <w:rPr>
      <w:rFonts w:ascii="Arial" w:hAnsi="Arial" w:eastAsia="黑体"/>
      <w:b/>
      <w:sz w:val="24"/>
    </w:rPr>
  </w:style>
  <w:style w:type="character" w:styleId="1151">
    <w:name w:val="标题 7 Char"/>
    <w:basedOn w:val="1137"/>
    <w:next w:val="1151"/>
    <w:link w:val="1134"/>
    <w:qFormat/>
    <w:rPr>
      <w:b/>
      <w:sz w:val="24"/>
    </w:rPr>
  </w:style>
  <w:style w:type="character" w:styleId="1152">
    <w:name w:val="标题 8 Char"/>
    <w:basedOn w:val="1137"/>
    <w:next w:val="1152"/>
    <w:link w:val="1135"/>
    <w:qFormat/>
    <w:rPr>
      <w:rFonts w:ascii="Arial" w:hAnsi="Arial" w:eastAsia="黑体"/>
      <w:sz w:val="24"/>
    </w:rPr>
  </w:style>
  <w:style w:type="character" w:styleId="1153">
    <w:name w:val="标题 9 Char"/>
    <w:basedOn w:val="1137"/>
    <w:next w:val="1153"/>
    <w:link w:val="1136"/>
    <w:qFormat/>
    <w:rPr>
      <w:rFonts w:ascii="Arial" w:hAnsi="Arial" w:eastAsia="黑体"/>
      <w:sz w:val="21"/>
    </w:rPr>
  </w:style>
  <w:style w:type="paragraph" w:styleId="1154">
    <w:name w:val="目录 7"/>
    <w:basedOn w:val="1127"/>
    <w:next w:val="1127"/>
    <w:link w:val="1127"/>
    <w:qFormat/>
    <w:pPr>
      <w:ind w:left="2520"/>
    </w:pPr>
  </w:style>
  <w:style w:type="paragraph" w:styleId="1155">
    <w:name w:val="题注"/>
    <w:basedOn w:val="1127"/>
    <w:next w:val="1127"/>
    <w:link w:val="1127"/>
    <w:qFormat/>
    <w:pPr>
      <w:spacing w:line="480" w:lineRule="auto"/>
    </w:pPr>
    <w:rPr>
      <w:rFonts w:ascii="华文中宋" w:hAnsi="华文中宋" w:eastAsia="华文中宋"/>
      <w:sz w:val="36"/>
      <w:szCs w:val="20"/>
    </w:rPr>
  </w:style>
  <w:style w:type="paragraph" w:styleId="1156">
    <w:name w:val="索引 5"/>
    <w:basedOn w:val="1127"/>
    <w:next w:val="1127"/>
    <w:link w:val="1127"/>
    <w:uiPriority w:val="99"/>
    <w:unhideWhenUsed/>
    <w:qFormat/>
    <w:pPr>
      <w:ind w:left="800"/>
    </w:pPr>
  </w:style>
  <w:style w:type="paragraph" w:styleId="1157">
    <w:name w:val="文档结构图"/>
    <w:basedOn w:val="1127"/>
    <w:next w:val="1127"/>
    <w:link w:val="1158"/>
    <w:qFormat/>
    <w:pPr>
      <w:shd w:val="clear" w:color="auto" w:fill="000080"/>
    </w:pPr>
  </w:style>
  <w:style w:type="character" w:styleId="1158">
    <w:name w:val="文档结构图 Char"/>
    <w:basedOn w:val="1137"/>
    <w:next w:val="1158"/>
    <w:link w:val="1157"/>
    <w:qFormat/>
    <w:rPr>
      <w:sz w:val="21"/>
      <w:szCs w:val="24"/>
      <w:shd w:val="clear" w:color="auto" w:fill="000080"/>
    </w:rPr>
  </w:style>
  <w:style w:type="paragraph" w:styleId="1159">
    <w:name w:val="批注文字"/>
    <w:basedOn w:val="1127"/>
    <w:next w:val="1159"/>
    <w:link w:val="1160"/>
    <w:uiPriority w:val="99"/>
    <w:qFormat/>
    <w:pPr>
      <w:jc w:val="left"/>
    </w:pPr>
  </w:style>
  <w:style w:type="character" w:styleId="1160">
    <w:name w:val="批注文字 Char1"/>
    <w:next w:val="1160"/>
    <w:link w:val="1159"/>
    <w:uiPriority w:val="99"/>
    <w:qFormat/>
    <w:rPr>
      <w:sz w:val="21"/>
      <w:szCs w:val="24"/>
    </w:rPr>
  </w:style>
  <w:style w:type="paragraph" w:styleId="1161">
    <w:name w:val="正文文本 3"/>
    <w:basedOn w:val="1127"/>
    <w:next w:val="1161"/>
    <w:link w:val="1162"/>
    <w:qFormat/>
    <w:pPr>
      <w:spacing w:after="120"/>
    </w:pPr>
    <w:rPr>
      <w:sz w:val="16"/>
      <w:szCs w:val="16"/>
    </w:rPr>
  </w:style>
  <w:style w:type="character" w:styleId="1162">
    <w:name w:val="正文文本 3 Char"/>
    <w:basedOn w:val="1137"/>
    <w:next w:val="1162"/>
    <w:link w:val="1161"/>
    <w:qFormat/>
    <w:rPr>
      <w:sz w:val="16"/>
      <w:szCs w:val="16"/>
    </w:rPr>
  </w:style>
  <w:style w:type="paragraph" w:styleId="1163">
    <w:name w:val="正文文本"/>
    <w:basedOn w:val="1127"/>
    <w:next w:val="1127"/>
    <w:link w:val="1164"/>
    <w:qFormat/>
    <w:pPr>
      <w:spacing w:before="120" w:line="22" w:lineRule="atLeast"/>
      <w:tabs>
        <w:tab w:val="left" w:pos="567" w:leader="none"/>
      </w:tabs>
    </w:pPr>
    <w:rPr>
      <w:rFonts w:ascii="宋体" w:hAnsi="宋体"/>
      <w:sz w:val="24"/>
    </w:rPr>
  </w:style>
  <w:style w:type="character" w:styleId="1164">
    <w:name w:val="正文文本 Char"/>
    <w:basedOn w:val="1137"/>
    <w:next w:val="1164"/>
    <w:link w:val="1163"/>
    <w:qFormat/>
    <w:rPr>
      <w:rFonts w:ascii="宋体" w:hAnsi="宋体"/>
      <w:sz w:val="24"/>
      <w:szCs w:val="24"/>
    </w:rPr>
  </w:style>
  <w:style w:type="paragraph" w:styleId="1165">
    <w:name w:val="列表 2"/>
    <w:basedOn w:val="1127"/>
    <w:next w:val="1165"/>
    <w:link w:val="1127"/>
    <w:qFormat/>
    <w:pPr>
      <w:ind w:left="100" w:hanging="200"/>
    </w:pPr>
  </w:style>
  <w:style w:type="paragraph" w:styleId="1166">
    <w:name w:val="文本块"/>
    <w:basedOn w:val="1127"/>
    <w:next w:val="1166"/>
    <w:link w:val="1127"/>
    <w:qFormat/>
    <w:pPr>
      <w:ind w:left="480" w:right="-341" w:firstLine="513"/>
      <w:widowControl/>
    </w:pPr>
    <w:rPr>
      <w:sz w:val="24"/>
      <w:szCs w:val="20"/>
    </w:rPr>
  </w:style>
  <w:style w:type="paragraph" w:styleId="1167">
    <w:name w:val="目录 5"/>
    <w:basedOn w:val="1127"/>
    <w:next w:val="1127"/>
    <w:link w:val="1127"/>
    <w:qFormat/>
    <w:pPr>
      <w:ind w:left="1680"/>
    </w:pPr>
  </w:style>
  <w:style w:type="paragraph" w:styleId="1168">
    <w:name w:val="目录 3"/>
    <w:basedOn w:val="1127"/>
    <w:next w:val="1127"/>
    <w:link w:val="1127"/>
    <w:uiPriority w:val="39"/>
    <w:qFormat/>
    <w:pPr>
      <w:ind w:left="840"/>
    </w:pPr>
  </w:style>
  <w:style w:type="paragraph" w:styleId="1169">
    <w:name w:val="纯文本"/>
    <w:basedOn w:val="1127"/>
    <w:next w:val="1141"/>
    <w:link w:val="1170"/>
    <w:qFormat/>
    <w:rPr>
      <w:rFonts w:hint="eastAsia" w:ascii="宋体" w:hAnsi="Courier New"/>
      <w:szCs w:val="20"/>
    </w:rPr>
  </w:style>
  <w:style w:type="character" w:styleId="1170">
    <w:name w:val="纯文本 Char"/>
    <w:basedOn w:val="1137"/>
    <w:next w:val="1170"/>
    <w:link w:val="1169"/>
    <w:qFormat/>
    <w:rPr>
      <w:rFonts w:hint="eastAsia" w:ascii="宋体" w:hAnsi="Courier New" w:eastAsia="宋体" w:cs="宋体"/>
      <w:sz w:val="21"/>
    </w:rPr>
  </w:style>
  <w:style w:type="paragraph" w:styleId="1171">
    <w:name w:val="目录 8"/>
    <w:basedOn w:val="1127"/>
    <w:next w:val="1127"/>
    <w:link w:val="1127"/>
    <w:qFormat/>
    <w:pPr>
      <w:ind w:left="2940"/>
    </w:pPr>
  </w:style>
  <w:style w:type="paragraph" w:styleId="1172">
    <w:name w:val="日期"/>
    <w:basedOn w:val="1127"/>
    <w:next w:val="1127"/>
    <w:link w:val="1173"/>
    <w:qFormat/>
    <w:pPr>
      <w:ind w:left="100"/>
    </w:pPr>
    <w:rPr>
      <w:rFonts w:ascii="仿宋_GB2312" w:hAnsi="宋体" w:eastAsia="仿宋_GB2312"/>
      <w:color w:val="000000"/>
      <w:sz w:val="24"/>
    </w:rPr>
  </w:style>
  <w:style w:type="character" w:styleId="1173">
    <w:name w:val="日期 Char"/>
    <w:basedOn w:val="1137"/>
    <w:next w:val="1173"/>
    <w:link w:val="1172"/>
    <w:qFormat/>
    <w:rPr>
      <w:rFonts w:ascii="仿宋_GB2312" w:hAnsi="宋体" w:eastAsia="仿宋_GB2312"/>
      <w:color w:val="000000"/>
      <w:sz w:val="24"/>
      <w:szCs w:val="24"/>
    </w:rPr>
  </w:style>
  <w:style w:type="paragraph" w:styleId="1174">
    <w:name w:val="正文文本缩进 2"/>
    <w:basedOn w:val="1127"/>
    <w:next w:val="1174"/>
    <w:link w:val="1175"/>
    <w:qFormat/>
    <w:pPr>
      <w:ind w:firstLine="480"/>
    </w:pPr>
    <w:rPr>
      <w:rFonts w:ascii="仿宋_GB2312" w:eastAsia="仿宋_GB2312"/>
      <w:sz w:val="24"/>
    </w:rPr>
  </w:style>
  <w:style w:type="character" w:styleId="1175">
    <w:name w:val="正文文本缩进 2 Char"/>
    <w:basedOn w:val="1137"/>
    <w:next w:val="1175"/>
    <w:link w:val="1174"/>
    <w:qFormat/>
    <w:rPr>
      <w:rFonts w:ascii="仿宋_GB2312" w:eastAsia="仿宋_GB2312"/>
      <w:sz w:val="24"/>
      <w:szCs w:val="24"/>
    </w:rPr>
  </w:style>
  <w:style w:type="paragraph" w:styleId="1176">
    <w:name w:val="批注框文本"/>
    <w:basedOn w:val="1127"/>
    <w:next w:val="1176"/>
    <w:link w:val="1177"/>
    <w:qFormat/>
    <w:rPr>
      <w:sz w:val="18"/>
      <w:szCs w:val="18"/>
    </w:rPr>
  </w:style>
  <w:style w:type="character" w:styleId="1177">
    <w:name w:val="批注框文本 Char"/>
    <w:basedOn w:val="1137"/>
    <w:next w:val="1177"/>
    <w:link w:val="1176"/>
    <w:qFormat/>
    <w:rPr>
      <w:sz w:val="18"/>
      <w:szCs w:val="18"/>
    </w:rPr>
  </w:style>
  <w:style w:type="paragraph" w:styleId="1178">
    <w:name w:val="页脚"/>
    <w:basedOn w:val="1127"/>
    <w:next w:val="1178"/>
    <w:link w:val="1179"/>
    <w:uiPriority w:val="99"/>
    <w:qFormat/>
    <w:pPr>
      <w:jc w:val="left"/>
      <w:tabs>
        <w:tab w:val="center" w:pos="4153" w:leader="none"/>
        <w:tab w:val="right" w:pos="8306" w:leader="none"/>
      </w:tabs>
    </w:pPr>
    <w:rPr>
      <w:rFonts w:ascii="宋体"/>
      <w:sz w:val="18"/>
      <w:szCs w:val="20"/>
    </w:rPr>
  </w:style>
  <w:style w:type="character" w:styleId="1179">
    <w:name w:val="页脚 Char1"/>
    <w:next w:val="1179"/>
    <w:link w:val="1178"/>
    <w:uiPriority w:val="99"/>
    <w:qFormat/>
    <w:rPr>
      <w:rFonts w:ascii="宋体" w:eastAsia="宋体"/>
      <w:sz w:val="18"/>
      <w:lang w:val="en-US" w:eastAsia="zh-CN" w:bidi="ar-SA"/>
    </w:rPr>
  </w:style>
  <w:style w:type="paragraph" w:styleId="1180">
    <w:name w:val="寄信人地址"/>
    <w:basedOn w:val="1127"/>
    <w:next w:val="1180"/>
    <w:link w:val="1127"/>
    <w:qFormat/>
    <w:rPr>
      <w:rFonts w:ascii="Arial" w:hAnsi="Arial"/>
    </w:rPr>
  </w:style>
  <w:style w:type="paragraph" w:styleId="1181">
    <w:name w:val="页眉"/>
    <w:basedOn w:val="1127"/>
    <w:next w:val="1181"/>
    <w:link w:val="1182"/>
    <w:qFormat/>
    <w:pPr>
      <w:jc w:val="center"/>
      <w:tabs>
        <w:tab w:val="center" w:pos="4153" w:leader="none"/>
        <w:tab w:val="right" w:pos="8306" w:leader="none"/>
      </w:tabs>
      <w:pBdr>
        <w:bottom w:val="single" w:color="000000" w:sz="6" w:space="1"/>
      </w:pBdr>
    </w:pPr>
    <w:rPr>
      <w:sz w:val="18"/>
      <w:szCs w:val="18"/>
    </w:rPr>
  </w:style>
  <w:style w:type="character" w:styleId="1182">
    <w:name w:val="页眉 Char1"/>
    <w:next w:val="1182"/>
    <w:link w:val="1181"/>
    <w:qFormat/>
    <w:rPr>
      <w:rFonts w:eastAsia="宋体"/>
      <w:sz w:val="18"/>
      <w:szCs w:val="18"/>
      <w:lang w:val="en-US" w:eastAsia="zh-CN" w:bidi="ar-SA"/>
    </w:rPr>
  </w:style>
  <w:style w:type="paragraph" w:styleId="1183">
    <w:name w:val="目录 1"/>
    <w:basedOn w:val="1127"/>
    <w:next w:val="1127"/>
    <w:link w:val="1127"/>
    <w:uiPriority w:val="39"/>
    <w:qFormat/>
    <w:pPr>
      <w:spacing w:line="300" w:lineRule="auto"/>
      <w:tabs>
        <w:tab w:val="left" w:pos="1050" w:leader="none"/>
        <w:tab w:val="right" w:pos="8937" w:leader="dot"/>
      </w:tabs>
    </w:pPr>
    <w:rPr>
      <w:rFonts w:ascii="宋体" w:hAnsi="宋体"/>
      <w:b/>
      <w:sz w:val="24"/>
    </w:rPr>
  </w:style>
  <w:style w:type="paragraph" w:styleId="1184">
    <w:name w:val="目录 4"/>
    <w:basedOn w:val="1127"/>
    <w:next w:val="1127"/>
    <w:link w:val="1127"/>
    <w:qFormat/>
    <w:pPr>
      <w:ind w:left="1260"/>
    </w:pPr>
  </w:style>
  <w:style w:type="paragraph" w:styleId="1185">
    <w:name w:val="脚注文本"/>
    <w:basedOn w:val="1127"/>
    <w:next w:val="1156"/>
    <w:link w:val="1127"/>
    <w:qFormat/>
    <w:pPr>
      <w:ind w:firstLine="425"/>
      <w:jc w:val="left"/>
      <w:spacing w:before="120" w:line="360" w:lineRule="auto"/>
    </w:pPr>
    <w:rPr>
      <w:sz w:val="18"/>
      <w:szCs w:val="20"/>
    </w:rPr>
  </w:style>
  <w:style w:type="paragraph" w:styleId="1186">
    <w:name w:val="目录 6"/>
    <w:basedOn w:val="1127"/>
    <w:next w:val="1127"/>
    <w:link w:val="1127"/>
    <w:qFormat/>
    <w:pPr>
      <w:ind w:left="2100"/>
    </w:pPr>
  </w:style>
  <w:style w:type="paragraph" w:styleId="1187">
    <w:name w:val="正文文本缩进 3"/>
    <w:basedOn w:val="1127"/>
    <w:next w:val="1187"/>
    <w:link w:val="1188"/>
    <w:qFormat/>
    <w:pPr>
      <w:ind w:left="720" w:firstLine="480"/>
      <w:jc w:val="left"/>
      <w:spacing w:before="120" w:line="22" w:lineRule="atLeast"/>
    </w:pPr>
    <w:rPr>
      <w:rFonts w:ascii="宋体"/>
      <w:sz w:val="24"/>
      <w:szCs w:val="20"/>
    </w:rPr>
  </w:style>
  <w:style w:type="character" w:styleId="1188">
    <w:name w:val="正文文本缩进 3 Char"/>
    <w:basedOn w:val="1137"/>
    <w:next w:val="1188"/>
    <w:link w:val="1187"/>
    <w:qFormat/>
    <w:rPr>
      <w:rFonts w:ascii="宋体"/>
      <w:sz w:val="24"/>
    </w:rPr>
  </w:style>
  <w:style w:type="paragraph" w:styleId="1189">
    <w:name w:val="目录 2"/>
    <w:basedOn w:val="1127"/>
    <w:next w:val="1127"/>
    <w:link w:val="1127"/>
    <w:uiPriority w:val="39"/>
    <w:qFormat/>
    <w:pPr>
      <w:ind w:left="420"/>
      <w:spacing w:line="312" w:lineRule="auto"/>
      <w:tabs>
        <w:tab w:val="right" w:pos="8937" w:leader="dot"/>
      </w:tabs>
    </w:pPr>
  </w:style>
  <w:style w:type="paragraph" w:styleId="1190">
    <w:name w:val="目录 9"/>
    <w:basedOn w:val="1127"/>
    <w:next w:val="1127"/>
    <w:link w:val="1127"/>
    <w:qFormat/>
    <w:pPr>
      <w:ind w:left="3360"/>
    </w:pPr>
  </w:style>
  <w:style w:type="paragraph" w:styleId="1191">
    <w:name w:val="HTML 预设格式"/>
    <w:basedOn w:val="1127"/>
    <w:next w:val="1191"/>
    <w:link w:val="11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2">
    <w:name w:val="HTML 预设格式 Char"/>
    <w:basedOn w:val="1137"/>
    <w:next w:val="1192"/>
    <w:link w:val="1191"/>
    <w:qFormat/>
    <w:rPr>
      <w:rFonts w:ascii="宋体" w:hAnsi="宋体" w:cs="宋体"/>
      <w:sz w:val="24"/>
      <w:szCs w:val="24"/>
    </w:rPr>
  </w:style>
  <w:style w:type="paragraph" w:styleId="1193">
    <w:name w:val="普通(网站)"/>
    <w:basedOn w:val="1127"/>
    <w:next w:val="1193"/>
    <w:link w:val="1127"/>
    <w:uiPriority w:val="99"/>
    <w:unhideWhenUsed/>
    <w:qFormat/>
    <w:pPr>
      <w:jc w:val="left"/>
      <w:spacing w:before="100" w:beforeAutospacing="1" w:after="100" w:afterAutospacing="1"/>
      <w:widowControl/>
    </w:pPr>
    <w:rPr>
      <w:rFonts w:ascii="宋体" w:hAnsi="宋体" w:cs="宋体"/>
      <w:sz w:val="24"/>
    </w:rPr>
  </w:style>
  <w:style w:type="paragraph" w:styleId="1194">
    <w:name w:val="索引 1"/>
    <w:basedOn w:val="1127"/>
    <w:next w:val="1127"/>
    <w:link w:val="1127"/>
    <w:qFormat/>
    <w:rPr>
      <w:szCs w:val="20"/>
    </w:rPr>
  </w:style>
  <w:style w:type="paragraph" w:styleId="1195">
    <w:name w:val="标题"/>
    <w:basedOn w:val="1127"/>
    <w:next w:val="1195"/>
    <w:link w:val="1196"/>
    <w:qFormat/>
    <w:pPr>
      <w:jc w:val="center"/>
      <w:outlineLvl w:val="0"/>
    </w:pPr>
    <w:rPr>
      <w:b/>
      <w:sz w:val="32"/>
      <w:szCs w:val="20"/>
    </w:rPr>
  </w:style>
  <w:style w:type="character" w:styleId="1196">
    <w:name w:val="标题 Char1"/>
    <w:next w:val="1196"/>
    <w:link w:val="1195"/>
    <w:qFormat/>
    <w:rPr>
      <w:b/>
      <w:sz w:val="32"/>
    </w:rPr>
  </w:style>
  <w:style w:type="paragraph" w:styleId="1197">
    <w:name w:val="批注主题"/>
    <w:basedOn w:val="1159"/>
    <w:next w:val="1159"/>
    <w:link w:val="1198"/>
    <w:qFormat/>
    <w:rPr>
      <w:b/>
      <w:bCs/>
    </w:rPr>
  </w:style>
  <w:style w:type="character" w:styleId="1198">
    <w:name w:val="批注主题 Char"/>
    <w:basedOn w:val="1199"/>
    <w:next w:val="1198"/>
    <w:link w:val="1197"/>
    <w:qFormat/>
    <w:rPr>
      <w:rFonts w:ascii="Times New Roman" w:hAnsi="Times New Roman" w:eastAsia="宋体" w:cs="Times New Roman"/>
      <w:b/>
      <w:bCs/>
      <w:sz w:val="21"/>
      <w:szCs w:val="24"/>
      <w:lang w:val="en-US" w:eastAsia="zh-CN" w:bidi="ar-SA"/>
    </w:rPr>
  </w:style>
  <w:style w:type="character" w:styleId="1199">
    <w:name w:val="批注文字 字符"/>
    <w:next w:val="1199"/>
    <w:link w:val="1127"/>
    <w:uiPriority w:val="99"/>
    <w:qFormat/>
    <w:rPr>
      <w:rFonts w:ascii="Times New Roman" w:hAnsi="Times New Roman" w:eastAsia="宋体" w:cs="Times New Roman"/>
      <w:sz w:val="24"/>
      <w:lang w:val="en-US" w:eastAsia="zh-CN" w:bidi="ar-SA"/>
    </w:rPr>
  </w:style>
  <w:style w:type="table" w:styleId="1200">
    <w:name w:val="网格型"/>
    <w:basedOn w:val="1138"/>
    <w:next w:val="1200"/>
    <w:link w:val="1127"/>
    <w:uiPriority w:val="39"/>
    <w:qFormat/>
    <w:tblPr/>
  </w:style>
  <w:style w:type="table" w:styleId="1201">
    <w:name w:val="中等深浅网格 1 - 强调文字颜色 2"/>
    <w:basedOn w:val="1138"/>
    <w:next w:val="1201"/>
    <w:link w:val="1127"/>
    <w:qFormat/>
    <w:rPr>
      <w:sz w:val="21"/>
      <w:szCs w:val="24"/>
    </w:rPr>
    <w:tblPr/>
  </w:style>
  <w:style w:type="character" w:styleId="1202">
    <w:name w:val="要点"/>
    <w:next w:val="1202"/>
    <w:link w:val="1127"/>
    <w:qFormat/>
    <w:rPr>
      <w:b/>
      <w:bCs/>
    </w:rPr>
  </w:style>
  <w:style w:type="character" w:styleId="1203">
    <w:name w:val="页码"/>
    <w:basedOn w:val="1137"/>
    <w:next w:val="1203"/>
    <w:link w:val="1127"/>
    <w:qFormat/>
  </w:style>
  <w:style w:type="character" w:styleId="1204">
    <w:name w:val="已访问的超链接"/>
    <w:next w:val="1204"/>
    <w:link w:val="1127"/>
    <w:qFormat/>
    <w:rPr>
      <w:color w:val="800080"/>
      <w:u w:val="single"/>
    </w:rPr>
  </w:style>
  <w:style w:type="character" w:styleId="1205">
    <w:name w:val="强调"/>
    <w:next w:val="1205"/>
    <w:link w:val="1127"/>
    <w:qFormat/>
    <w:rPr>
      <w:color w:val="cc0033"/>
    </w:rPr>
  </w:style>
  <w:style w:type="character" w:styleId="1206">
    <w:name w:val="超链接"/>
    <w:next w:val="1206"/>
    <w:link w:val="1127"/>
    <w:uiPriority w:val="99"/>
    <w:qFormat/>
    <w:rPr>
      <w:color w:val="0000ff"/>
      <w:u w:val="single"/>
    </w:rPr>
  </w:style>
  <w:style w:type="character" w:styleId="1207">
    <w:name w:val="批注引用"/>
    <w:next w:val="1207"/>
    <w:link w:val="1127"/>
    <w:uiPriority w:val="99"/>
    <w:qFormat/>
    <w:rPr>
      <w:sz w:val="21"/>
      <w:szCs w:val="21"/>
    </w:rPr>
  </w:style>
  <w:style w:type="character" w:styleId="1208">
    <w:name w:val="HTML 引文"/>
    <w:next w:val="1208"/>
    <w:link w:val="1127"/>
    <w:qFormat/>
    <w:rPr>
      <w:i/>
      <w:iCs/>
    </w:rPr>
  </w:style>
  <w:style w:type="paragraph" w:styleId="1209">
    <w:name w:val="正文首行缩进 21"/>
    <w:basedOn w:val="1210"/>
    <w:next w:val="1209"/>
    <w:link w:val="1127"/>
    <w:qFormat/>
    <w:pPr>
      <w:ind w:left="420" w:firstLine="420"/>
      <w:spacing w:after="120" w:line="480" w:lineRule="exact"/>
    </w:pPr>
    <w:rPr>
      <w:szCs w:val="20"/>
    </w:rPr>
  </w:style>
  <w:style w:type="paragraph" w:styleId="1210">
    <w:name w:val="正文文本缩进11"/>
    <w:basedOn w:val="1127"/>
    <w:next w:val="1127"/>
    <w:link w:val="1127"/>
    <w:qFormat/>
    <w:pPr>
      <w:ind w:firstLine="570"/>
      <w:spacing w:line="360" w:lineRule="auto"/>
    </w:pPr>
    <w:rPr>
      <w:sz w:val="24"/>
    </w:rPr>
  </w:style>
  <w:style w:type="character" w:styleId="1211">
    <w:name w:val="默认段落字体1"/>
    <w:next w:val="1211"/>
    <w:link w:val="1127"/>
    <w:uiPriority w:val="1"/>
    <w:unhideWhenUsed/>
    <w:qFormat/>
  </w:style>
  <w:style w:type="paragraph" w:styleId="1212">
    <w:name w:val="Default"/>
    <w:next w:val="1212"/>
    <w:link w:val="1127"/>
    <w:qFormat/>
    <w:pPr>
      <w:widowControl w:val="off"/>
    </w:pPr>
    <w:rPr>
      <w:rFonts w:ascii="Symbol" w:hAnsi="Symbol" w:cs="Symbol"/>
      <w:color w:val="000000"/>
      <w:sz w:val="24"/>
      <w:szCs w:val="24"/>
      <w:lang w:val="en-US" w:eastAsia="zh-CN" w:bidi="ar-SA"/>
    </w:rPr>
  </w:style>
  <w:style w:type="paragraph" w:styleId="1213">
    <w:name w:val="首行缩进"/>
    <w:basedOn w:val="1127"/>
    <w:next w:val="1213"/>
    <w:link w:val="1127"/>
    <w:qFormat/>
    <w:pPr>
      <w:ind w:firstLine="720"/>
    </w:pPr>
    <w:rPr>
      <w:sz w:val="24"/>
    </w:rPr>
  </w:style>
  <w:style w:type="paragraph" w:styleId="1214">
    <w:name w:val="正文_2_0"/>
    <w:next w:val="1214"/>
    <w:link w:val="1127"/>
    <w:qFormat/>
    <w:pPr>
      <w:spacing w:line="440" w:lineRule="exact"/>
      <w:widowControl w:val="off"/>
    </w:pPr>
    <w:rPr>
      <w:rFonts w:ascii="Calibri" w:hAnsi="Calibri" w:eastAsia="宋体" w:cs="Times New Roman"/>
      <w:lang w:val="en-US" w:eastAsia="zh-CN" w:bidi="ar-SA"/>
    </w:rPr>
  </w:style>
  <w:style w:type="paragraph" w:styleId="1215">
    <w:name w:val="Normal_0"/>
    <w:next w:val="1163"/>
    <w:link w:val="1127"/>
    <w:qFormat/>
    <w:pPr>
      <w:jc w:val="both"/>
      <w:widowControl w:val="off"/>
    </w:pPr>
    <w:rPr>
      <w:rFonts w:ascii="Calibri" w:hAnsi="Calibri" w:eastAsia="Times New Roman" w:cs="Times New Roman"/>
      <w:lang w:val="en-US" w:eastAsia="zh-CN" w:bidi="ar-SA"/>
    </w:rPr>
  </w:style>
  <w:style w:type="character" w:styleId="1216">
    <w:name w:val="street-address"/>
    <w:basedOn w:val="1137"/>
    <w:next w:val="1216"/>
    <w:link w:val="1127"/>
    <w:qFormat/>
  </w:style>
  <w:style w:type="character" w:styleId="1217">
    <w:name w:val="注释 Char"/>
    <w:next w:val="1217"/>
    <w:link w:val="1218"/>
    <w:qFormat/>
    <w:rPr>
      <w:rFonts w:ascii="宋体" w:hAnsi="宋体"/>
      <w:sz w:val="21"/>
      <w:szCs w:val="21"/>
    </w:rPr>
  </w:style>
  <w:style w:type="paragraph" w:styleId="1218">
    <w:name w:val="注释"/>
    <w:basedOn w:val="1127"/>
    <w:next w:val="1218"/>
    <w:link w:val="1217"/>
    <w:qFormat/>
    <w:pPr>
      <w:ind w:left="420" w:hanging="420"/>
      <w:jc w:val="left"/>
    </w:pPr>
    <w:rPr>
      <w:rFonts w:ascii="宋体" w:hAnsi="宋体"/>
      <w:szCs w:val="21"/>
    </w:rPr>
  </w:style>
  <w:style w:type="character" w:styleId="1219">
    <w:name w:val="locality"/>
    <w:basedOn w:val="1137"/>
    <w:next w:val="1219"/>
    <w:link w:val="1127"/>
    <w:qFormat/>
  </w:style>
  <w:style w:type="character" w:styleId="1220">
    <w:name w:val="标题 Char"/>
    <w:next w:val="1220"/>
    <w:link w:val="1127"/>
    <w:qFormat/>
    <w:rPr>
      <w:b/>
      <w:sz w:val="32"/>
    </w:rPr>
  </w:style>
  <w:style w:type="character" w:styleId="1221">
    <w:name w:val="标题 2 Char"/>
    <w:next w:val="1221"/>
    <w:link w:val="1127"/>
    <w:qFormat/>
    <w:rPr>
      <w:rFonts w:ascii="Arial" w:hAnsi="Arial" w:eastAsia="黑体"/>
      <w:b/>
      <w:sz w:val="30"/>
      <w:lang w:val="en-US" w:eastAsia="zh-CN" w:bidi="ar-SA"/>
    </w:rPr>
  </w:style>
  <w:style w:type="character" w:styleId="1222">
    <w:name w:val="纯文本 Char1"/>
    <w:next w:val="1222"/>
    <w:link w:val="1127"/>
    <w:qFormat/>
    <w:rPr>
      <w:rFonts w:ascii="宋体" w:hAnsi="Courier New" w:eastAsia="宋体"/>
      <w:sz w:val="21"/>
      <w:lang w:val="en-US" w:eastAsia="zh-CN" w:bidi="ar-SA"/>
    </w:rPr>
  </w:style>
  <w:style w:type="character" w:styleId="1223">
    <w:name w:val="Char Char11"/>
    <w:next w:val="1223"/>
    <w:link w:val="1127"/>
    <w:qFormat/>
    <w:rPr>
      <w:rFonts w:ascii="宋体" w:eastAsia="宋体"/>
      <w:b/>
      <w:sz w:val="24"/>
      <w:u w:val="single"/>
      <w:lang w:val="en-US" w:eastAsia="zh-CN" w:bidi="ar-SA"/>
    </w:rPr>
  </w:style>
  <w:style w:type="character" w:styleId="1224">
    <w:name w:val="页脚 Char"/>
    <w:next w:val="1224"/>
    <w:link w:val="1127"/>
    <w:qFormat/>
    <w:rPr>
      <w:rFonts w:ascii="宋体" w:eastAsia="宋体"/>
      <w:sz w:val="18"/>
      <w:lang w:val="en-US" w:eastAsia="zh-CN" w:bidi="ar-SA"/>
    </w:rPr>
  </w:style>
  <w:style w:type="character" w:styleId="1225">
    <w:name w:val="列出段落 Char"/>
    <w:next w:val="1225"/>
    <w:link w:val="1127"/>
    <w:qFormat/>
    <w:rPr>
      <w:rFonts w:ascii="Calibri" w:hAnsi="Calibri" w:eastAsia="宋体"/>
      <w:sz w:val="21"/>
      <w:szCs w:val="22"/>
      <w:lang w:val="en-US" w:eastAsia="zh-CN" w:bidi="ar-SA"/>
    </w:rPr>
  </w:style>
  <w:style w:type="character" w:styleId="1226">
    <w:name w:val="纯文本 字符1"/>
    <w:next w:val="1226"/>
    <w:link w:val="1127"/>
    <w:qFormat/>
    <w:rPr>
      <w:rFonts w:ascii="宋体" w:hAnsi="Courier New"/>
    </w:rPr>
  </w:style>
  <w:style w:type="character" w:styleId="1227">
    <w:name w:val="chanpin1"/>
    <w:next w:val="1227"/>
    <w:link w:val="1127"/>
    <w:qFormat/>
    <w:rPr>
      <w:rFonts w:ascii="ˎ̥" w:hAnsi="ˎ̥"/>
      <w:color w:val="000000"/>
      <w:sz w:val="20"/>
      <w:szCs w:val="20"/>
      <w:u w:val="none"/>
    </w:rPr>
  </w:style>
  <w:style w:type="character" w:styleId="1228">
    <w:name w:val="apple-style-span"/>
    <w:next w:val="1228"/>
    <w:link w:val="1127"/>
    <w:qFormat/>
    <w:rPr>
      <w:rFonts w:cs="Times New Roman"/>
    </w:rPr>
  </w:style>
  <w:style w:type="character" w:styleId="1229">
    <w:name w:val="c21"/>
    <w:next w:val="1229"/>
    <w:link w:val="1127"/>
    <w:qFormat/>
    <w:rPr>
      <w:rFonts w:ascii="ˎ̥" w:hAnsi="ˎ̥"/>
      <w:color w:val="000000"/>
      <w:sz w:val="20"/>
      <w:szCs w:val="20"/>
      <w:u w:val="none"/>
    </w:rPr>
  </w:style>
  <w:style w:type="character" w:styleId="1230">
    <w:name w:val="正文缩进 Char Char"/>
    <w:next w:val="1230"/>
    <w:link w:val="1231"/>
    <w:qFormat/>
    <w:rPr>
      <w:rFonts w:ascii="宋体" w:eastAsia="宋体"/>
      <w:color w:val="000000"/>
      <w:sz w:val="28"/>
      <w:lang w:bidi="ar-SA"/>
    </w:rPr>
  </w:style>
  <w:style w:type="paragraph" w:styleId="1231">
    <w:name w:val="正文缩进1"/>
    <w:basedOn w:val="1127"/>
    <w:next w:val="1231"/>
    <w:link w:val="1230"/>
    <w:qFormat/>
    <w:pPr>
      <w:ind w:firstLine="567"/>
      <w:spacing w:line="480" w:lineRule="exact"/>
      <w:widowControl/>
    </w:pPr>
    <w:rPr>
      <w:rFonts w:ascii="宋体"/>
      <w:color w:val="000000"/>
      <w:sz w:val="28"/>
      <w:szCs w:val="20"/>
    </w:rPr>
  </w:style>
  <w:style w:type="character" w:styleId="1232">
    <w:name w:val="标题 2 Char Char"/>
    <w:next w:val="1232"/>
    <w:link w:val="1127"/>
    <w:qFormat/>
    <w:rPr>
      <w:rFonts w:ascii="Arial" w:hAnsi="Arial" w:eastAsia="黑体"/>
      <w:b/>
      <w:bCs/>
      <w:sz w:val="32"/>
      <w:szCs w:val="32"/>
      <w:lang w:val="en-US" w:eastAsia="zh-CN" w:bidi="ar-SA"/>
    </w:rPr>
  </w:style>
  <w:style w:type="character" w:styleId="1233">
    <w:name w:val="段1 Char"/>
    <w:next w:val="1233"/>
    <w:link w:val="1127"/>
    <w:qFormat/>
    <w:rPr>
      <w:rFonts w:ascii="宋体" w:eastAsia="宋体"/>
      <w:sz w:val="24"/>
      <w:lang w:val="en-US" w:eastAsia="zh-CN" w:bidi="ar-SA"/>
    </w:rPr>
  </w:style>
  <w:style w:type="character" w:styleId="1234">
    <w:name w:val="成文日期 Char"/>
    <w:next w:val="1234"/>
    <w:link w:val="1235"/>
    <w:rPr>
      <w:rFonts w:ascii="仿宋_GB2312" w:eastAsia="仿宋_GB2312"/>
      <w:sz w:val="32"/>
    </w:rPr>
  </w:style>
  <w:style w:type="paragraph" w:styleId="1235">
    <w:name w:val="成文日期"/>
    <w:basedOn w:val="1127"/>
    <w:next w:val="1235"/>
    <w:link w:val="1234"/>
    <w:qFormat/>
    <w:pPr>
      <w:ind w:right="400" w:firstLine="200"/>
      <w:jc w:val="right"/>
      <w:spacing w:line="570" w:lineRule="exact"/>
    </w:pPr>
    <w:rPr>
      <w:rFonts w:ascii="仿宋_GB2312" w:eastAsia="仿宋_GB2312"/>
      <w:sz w:val="32"/>
      <w:szCs w:val="20"/>
    </w:rPr>
  </w:style>
  <w:style w:type="character" w:styleId="1236">
    <w:name w:val="中等深浅网格 1 - 强调文字颜色 2 Char"/>
    <w:next w:val="1236"/>
    <w:link w:val="1237"/>
    <w:qFormat/>
    <w:rPr>
      <w:sz w:val="21"/>
      <w:szCs w:val="24"/>
      <w:lang w:val="zh-CN" w:eastAsia="zh-CN" w:bidi="ar-SA"/>
    </w:rPr>
  </w:style>
  <w:style w:type="paragraph" w:styleId="1237">
    <w:name w:val="1"/>
    <w:next w:val="1237"/>
    <w:link w:val="1236"/>
    <w:qFormat/>
    <w:rPr>
      <w:sz w:val="21"/>
      <w:szCs w:val="24"/>
      <w:lang w:val="zh-CN" w:eastAsia="zh-CN" w:bidi="ar-SA"/>
    </w:rPr>
  </w:style>
  <w:style w:type="character" w:styleId="1238">
    <w:name w:val="标题 3 Char Char"/>
    <w:next w:val="1238"/>
    <w:link w:val="1127"/>
    <w:qFormat/>
    <w:rPr>
      <w:rFonts w:eastAsia="宋体"/>
      <w:b/>
      <w:bCs/>
      <w:sz w:val="32"/>
      <w:szCs w:val="32"/>
      <w:lang w:val="en-US" w:eastAsia="zh-CN" w:bidi="ar-SA"/>
    </w:rPr>
  </w:style>
  <w:style w:type="character" w:styleId="1239">
    <w:name w:val="txt"/>
    <w:basedOn w:val="1137"/>
    <w:next w:val="1239"/>
    <w:link w:val="1127"/>
    <w:qFormat/>
  </w:style>
  <w:style w:type="character" w:styleId="1240">
    <w:name w:val="纯文本 字符"/>
    <w:next w:val="1240"/>
    <w:link w:val="1127"/>
    <w:uiPriority w:val="99"/>
    <w:qFormat/>
    <w:rPr>
      <w:rFonts w:ascii="宋体" w:hAnsi="Courier New" w:eastAsia="宋体" w:cs="Times New Roman"/>
      <w:sz w:val="21"/>
      <w:szCs w:val="21"/>
      <w:lang w:val="en-US" w:eastAsia="zh-CN" w:bidi="ar-SA"/>
    </w:rPr>
  </w:style>
  <w:style w:type="character" w:styleId="1241">
    <w:name w:val="正文大标题 Char"/>
    <w:next w:val="1241"/>
    <w:link w:val="1242"/>
    <w:qFormat/>
    <w:rPr>
      <w:rFonts w:ascii="宋体" w:hAnsi="宋体"/>
      <w:b/>
      <w:color w:val="000000"/>
      <w:sz w:val="28"/>
      <w:szCs w:val="21"/>
    </w:rPr>
  </w:style>
  <w:style w:type="paragraph" w:styleId="1242">
    <w:name w:val="正文大标题"/>
    <w:basedOn w:val="1243"/>
    <w:next w:val="1141"/>
    <w:link w:val="1241"/>
    <w:qFormat/>
    <w:pPr>
      <w:jc w:val="center"/>
    </w:pPr>
    <w:rPr>
      <w:i w:val="0"/>
      <w:color w:val="000000"/>
      <w:sz w:val="28"/>
      <w:szCs w:val="21"/>
    </w:rPr>
  </w:style>
  <w:style w:type="paragraph" w:styleId="1243">
    <w:name w:val="正文小标题"/>
    <w:basedOn w:val="1127"/>
    <w:next w:val="1141"/>
    <w:link w:val="1244"/>
    <w:qFormat/>
    <w:pPr>
      <w:ind w:firstLine="482"/>
      <w:jc w:val="left"/>
      <w:spacing w:before="312" w:after="312"/>
    </w:pPr>
    <w:rPr>
      <w:rFonts w:ascii="宋体" w:hAnsi="宋体"/>
      <w:b/>
      <w:i/>
      <w:color w:val="ff0000"/>
      <w:sz w:val="24"/>
      <w:szCs w:val="20"/>
    </w:rPr>
  </w:style>
  <w:style w:type="character" w:styleId="1244">
    <w:name w:val="正文小标题 Char"/>
    <w:next w:val="1244"/>
    <w:link w:val="1243"/>
    <w:qFormat/>
    <w:rPr>
      <w:rFonts w:ascii="宋体" w:hAnsi="宋体"/>
      <w:b/>
      <w:i/>
      <w:color w:val="ff0000"/>
      <w:sz w:val="24"/>
    </w:rPr>
  </w:style>
  <w:style w:type="character" w:styleId="1245">
    <w:name w:val="正文格式 Char"/>
    <w:next w:val="1245"/>
    <w:link w:val="1246"/>
    <w:qFormat/>
    <w:rPr>
      <w:rFonts w:ascii="宋体" w:hAnsi="宋体"/>
      <w:sz w:val="24"/>
      <w:szCs w:val="24"/>
      <w:lang w:val="en-GB"/>
    </w:rPr>
  </w:style>
  <w:style w:type="paragraph" w:styleId="1246">
    <w:name w:val="正文格式"/>
    <w:basedOn w:val="1127"/>
    <w:next w:val="1246"/>
    <w:link w:val="1245"/>
    <w:qFormat/>
    <w:pPr>
      <w:ind w:firstLine="480"/>
      <w:spacing w:line="360" w:lineRule="auto"/>
    </w:pPr>
    <w:rPr>
      <w:rFonts w:ascii="宋体" w:hAnsi="宋体"/>
      <w:sz w:val="24"/>
      <w:lang w:val="en-GB"/>
    </w:rPr>
  </w:style>
  <w:style w:type="character" w:styleId="1247">
    <w:name w:val="title4"/>
    <w:next w:val="1247"/>
    <w:link w:val="1127"/>
    <w:qFormat/>
    <w:rPr>
      <w:b/>
      <w:bCs/>
      <w:color w:val="1d87b3"/>
      <w:sz w:val="15"/>
      <w:szCs w:val="15"/>
    </w:rPr>
  </w:style>
  <w:style w:type="character" w:styleId="1248">
    <w:name w:val="列出段落 Char1"/>
    <w:next w:val="1248"/>
    <w:link w:val="1249"/>
    <w:uiPriority w:val="34"/>
    <w:qFormat/>
    <w:rPr>
      <w:rFonts w:ascii="Calibri" w:hAnsi="Calibri" w:eastAsia="宋体"/>
      <w:sz w:val="21"/>
      <w:szCs w:val="22"/>
      <w:lang w:val="en-US" w:eastAsia="zh-CN" w:bidi="ar-SA"/>
    </w:rPr>
  </w:style>
  <w:style w:type="paragraph" w:styleId="1249">
    <w:name w:val="列出段落"/>
    <w:basedOn w:val="1127"/>
    <w:next w:val="1249"/>
    <w:link w:val="1248"/>
    <w:uiPriority w:val="34"/>
    <w:qFormat/>
    <w:pPr>
      <w:ind w:firstLine="420"/>
    </w:pPr>
    <w:rPr>
      <w:rFonts w:ascii="Calibri" w:hAnsi="Calibri"/>
      <w:szCs w:val="22"/>
    </w:rPr>
  </w:style>
  <w:style w:type="character" w:styleId="1250">
    <w:name w:val="批注文字 Char"/>
    <w:next w:val="1250"/>
    <w:link w:val="1127"/>
    <w:uiPriority w:val="99"/>
    <w:qFormat/>
    <w:rPr>
      <w:sz w:val="21"/>
      <w:szCs w:val="24"/>
    </w:rPr>
  </w:style>
  <w:style w:type="character" w:styleId="1251">
    <w:name w:val="chanpin拷贝"/>
    <w:basedOn w:val="1137"/>
    <w:next w:val="1251"/>
    <w:link w:val="1127"/>
    <w:qFormat/>
  </w:style>
  <w:style w:type="character" w:styleId="1252">
    <w:name w:val="普通文字1 Char1"/>
    <w:next w:val="1252"/>
    <w:link w:val="1127"/>
    <w:qFormat/>
    <w:rPr>
      <w:rFonts w:ascii="宋体" w:hAnsi="Courier New" w:eastAsia="宋体"/>
      <w:sz w:val="21"/>
      <w:lang w:val="en-US" w:eastAsia="zh-CN" w:bidi="ar-SA"/>
    </w:rPr>
  </w:style>
  <w:style w:type="character" w:styleId="1253">
    <w:name w:val="正文表格 Char"/>
    <w:next w:val="1253"/>
    <w:link w:val="1254"/>
    <w:qFormat/>
    <w:rPr>
      <w:rFonts w:ascii="宋体" w:hAnsi="宋体"/>
      <w:color w:val="000000"/>
      <w:sz w:val="21"/>
      <w:szCs w:val="21"/>
    </w:rPr>
  </w:style>
  <w:style w:type="paragraph" w:styleId="1254">
    <w:name w:val="正文表格"/>
    <w:basedOn w:val="1127"/>
    <w:next w:val="1254"/>
    <w:link w:val="1253"/>
    <w:qFormat/>
    <w:pPr>
      <w:jc w:val="left"/>
    </w:pPr>
    <w:rPr>
      <w:rFonts w:ascii="宋体" w:hAnsi="宋体"/>
      <w:color w:val="000000"/>
      <w:szCs w:val="21"/>
    </w:rPr>
  </w:style>
  <w:style w:type="character" w:styleId="1255">
    <w:name w:val="正文缩进 Char"/>
    <w:next w:val="1255"/>
    <w:link w:val="1127"/>
    <w:qFormat/>
    <w:rPr>
      <w:rFonts w:ascii="宋体" w:eastAsia="宋体"/>
      <w:sz w:val="24"/>
      <w:szCs w:val="24"/>
      <w:lang w:val="en-US" w:eastAsia="zh-CN" w:bidi="ar-SA"/>
    </w:rPr>
  </w:style>
  <w:style w:type="character" w:styleId="1256">
    <w:name w:val="页眉 Char"/>
    <w:next w:val="1256"/>
    <w:link w:val="1127"/>
    <w:qFormat/>
    <w:rPr>
      <w:rFonts w:eastAsia="宋体"/>
      <w:sz w:val="18"/>
      <w:szCs w:val="18"/>
      <w:lang w:val="en-US" w:eastAsia="zh-CN" w:bidi="ar-SA"/>
    </w:rPr>
  </w:style>
  <w:style w:type="character" w:styleId="1257">
    <w:name w:val="black1"/>
    <w:next w:val="1257"/>
    <w:link w:val="1127"/>
    <w:qFormat/>
    <w:rPr>
      <w:color w:val="000000"/>
    </w:rPr>
  </w:style>
  <w:style w:type="character" w:styleId="1258">
    <w:name w:val="正文文本缩进 Char"/>
    <w:next w:val="1258"/>
    <w:link w:val="1127"/>
    <w:qFormat/>
    <w:rPr>
      <w:rFonts w:eastAsia="宋体"/>
      <w:sz w:val="24"/>
      <w:szCs w:val="24"/>
      <w:lang w:val="en-US" w:eastAsia="zh-CN" w:bidi="ar-SA"/>
    </w:rPr>
  </w:style>
  <w:style w:type="character" w:styleId="1259">
    <w:name w:val="正文文本缩进 Char1"/>
    <w:next w:val="1259"/>
    <w:link w:val="1260"/>
    <w:qFormat/>
    <w:rPr>
      <w:rFonts w:ascii="宋体" w:hAnsi="宋体" w:eastAsia="宋体"/>
      <w:sz w:val="24"/>
      <w:szCs w:val="24"/>
      <w:lang w:bidi="ar-SA"/>
    </w:rPr>
  </w:style>
  <w:style w:type="paragraph" w:styleId="1260">
    <w:name w:val="正文文本缩进1"/>
    <w:basedOn w:val="1127"/>
    <w:next w:val="1260"/>
    <w:link w:val="1259"/>
    <w:qFormat/>
    <w:pPr>
      <w:ind w:firstLine="480"/>
      <w:spacing w:line="480" w:lineRule="exact"/>
    </w:pPr>
    <w:rPr>
      <w:rFonts w:ascii="宋体" w:hAnsi="宋体"/>
      <w:sz w:val="24"/>
    </w:rPr>
  </w:style>
  <w:style w:type="character" w:styleId="1261">
    <w:name w:val="正文重点 Char"/>
    <w:next w:val="1261"/>
    <w:link w:val="1262"/>
    <w:qFormat/>
    <w:rPr>
      <w:b/>
      <w:sz w:val="24"/>
    </w:rPr>
  </w:style>
  <w:style w:type="paragraph" w:styleId="1262">
    <w:name w:val="正文重点"/>
    <w:basedOn w:val="1127"/>
    <w:next w:val="1262"/>
    <w:link w:val="1261"/>
    <w:qFormat/>
    <w:pPr>
      <w:ind w:firstLine="482"/>
      <w:jc w:val="left"/>
      <w:spacing w:line="360" w:lineRule="auto"/>
    </w:pPr>
    <w:rPr>
      <w:b/>
      <w:sz w:val="24"/>
      <w:szCs w:val="20"/>
    </w:rPr>
  </w:style>
  <w:style w:type="character" w:styleId="1263">
    <w:name w:val="标题 3 Char"/>
    <w:next w:val="1263"/>
    <w:link w:val="1127"/>
    <w:qFormat/>
    <w:rPr>
      <w:rFonts w:ascii="宋体" w:eastAsia="宋体"/>
      <w:b/>
      <w:sz w:val="24"/>
      <w:u w:val="single"/>
      <w:lang w:val="en-US" w:eastAsia="zh-CN" w:bidi="ar-SA"/>
    </w:rPr>
  </w:style>
  <w:style w:type="character" w:styleId="1264">
    <w:name w:val="Char Char111"/>
    <w:next w:val="1264"/>
    <w:link w:val="1127"/>
    <w:qFormat/>
    <w:rPr>
      <w:rFonts w:ascii="宋体" w:eastAsia="宋体"/>
      <w:b/>
      <w:sz w:val="24"/>
      <w:u w:val="single"/>
      <w:lang w:val="en-US" w:eastAsia="zh-CN" w:bidi="ar-SA"/>
    </w:rPr>
  </w:style>
  <w:style w:type="character" w:styleId="1265">
    <w:name w:val="bjh-p"/>
    <w:next w:val="1265"/>
    <w:link w:val="1127"/>
    <w:qFormat/>
  </w:style>
  <w:style w:type="paragraph" w:styleId="1266">
    <w:name w:val="xl36"/>
    <w:basedOn w:val="1127"/>
    <w:next w:val="1266"/>
    <w:link w:val="112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name w:val="font5"/>
    <w:basedOn w:val="1127"/>
    <w:next w:val="1267"/>
    <w:link w:val="1127"/>
    <w:qFormat/>
    <w:pPr>
      <w:jc w:val="left"/>
      <w:spacing w:before="100" w:beforeAutospacing="1" w:after="100" w:afterAutospacing="1"/>
      <w:widowControl/>
    </w:pPr>
    <w:rPr>
      <w:rFonts w:ascii="宋体" w:hAnsi="宋体" w:cs="宋体"/>
      <w:sz w:val="18"/>
      <w:szCs w:val="18"/>
    </w:rPr>
  </w:style>
  <w:style w:type="paragraph" w:styleId="1268">
    <w:name w:val="图中文字"/>
    <w:basedOn w:val="1127"/>
    <w:next w:val="1268"/>
    <w:link w:val="1127"/>
    <w:qFormat/>
    <w:pPr>
      <w:jc w:val="center"/>
      <w:spacing w:line="0" w:lineRule="atLeast"/>
    </w:pPr>
    <w:rPr>
      <w:sz w:val="24"/>
      <w:szCs w:val="20"/>
    </w:rPr>
  </w:style>
  <w:style w:type="paragraph" w:styleId="1269">
    <w:name w:val="1 Char Char Char Char"/>
    <w:basedOn w:val="1127"/>
    <w:next w:val="1269"/>
    <w:link w:val="1127"/>
    <w:qFormat/>
    <w:rPr>
      <w:rFonts w:ascii="Tahoma" w:hAnsi="Tahoma"/>
      <w:sz w:val="24"/>
      <w:szCs w:val="20"/>
    </w:rPr>
  </w:style>
  <w:style w:type="paragraph" w:styleId="1270">
    <w:name w:val="正文列项_字母"/>
    <w:basedOn w:val="1127"/>
    <w:next w:val="1270"/>
    <w:link w:val="1127"/>
    <w:qFormat/>
    <w:pPr>
      <w:numPr>
        <w:ilvl w:val="6"/>
        <w:numId w:val="1"/>
      </w:numPr>
      <w:ind w:left="480" w:hanging="180"/>
      <w:spacing w:line="460" w:lineRule="exact"/>
      <w:tabs>
        <w:tab w:val="clear" w:pos="635" w:leader="none"/>
      </w:tabs>
      <w:outlineLvl w:val="6"/>
    </w:pPr>
    <w:rPr>
      <w:rFonts w:ascii="宋体"/>
      <w:sz w:val="28"/>
      <w:szCs w:val="20"/>
    </w:rPr>
  </w:style>
  <w:style w:type="paragraph" w:styleId="1271">
    <w:name w:val="正文须知-2级"/>
    <w:basedOn w:val="1127"/>
    <w:next w:val="1271"/>
    <w:link w:val="1127"/>
    <w:qFormat/>
    <w:pPr>
      <w:numPr>
        <w:ilvl w:val="1"/>
        <w:numId w:val="2"/>
      </w:numPr>
      <w:spacing w:line="300" w:lineRule="auto"/>
    </w:pPr>
    <w:rPr>
      <w:rFonts w:ascii="宋体" w:hAnsi="Calibri"/>
      <w:sz w:val="24"/>
      <w:szCs w:val="21"/>
    </w:rPr>
  </w:style>
  <w:style w:type="paragraph" w:styleId="1272">
    <w:name w:val="Char1 Char Char Char1"/>
    <w:basedOn w:val="1127"/>
    <w:next w:val="1272"/>
    <w:link w:val="1127"/>
    <w:qFormat/>
    <w:rPr>
      <w:rFonts w:ascii="Tahoma" w:hAnsi="Tahoma" w:cs="仿宋_GB2312"/>
      <w:sz w:val="24"/>
      <w:szCs w:val="28"/>
    </w:rPr>
  </w:style>
  <w:style w:type="paragraph" w:styleId="1273">
    <w:name w:val="xl30"/>
    <w:basedOn w:val="1127"/>
    <w:next w:val="1273"/>
    <w:link w:val="11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name w:val="二级条标题"/>
    <w:basedOn w:val="1275"/>
    <w:next w:val="1127"/>
    <w:link w:val="1127"/>
    <w:qFormat/>
    <w:pPr>
      <w:numPr>
        <w:ilvl w:val="0"/>
        <w:numId w:val="0"/>
      </w:numPr>
      <w:ind w:hanging="840"/>
      <w:tabs>
        <w:tab w:val="left" w:pos="360" w:leader="none"/>
        <w:tab w:val="left" w:pos="840" w:leader="none"/>
      </w:tabs>
      <w:outlineLvl w:val="2"/>
    </w:pPr>
    <w:rPr>
      <w:rFonts w:ascii="宋体" w:eastAsia="宋体"/>
      <w:b w:val="0"/>
    </w:rPr>
  </w:style>
  <w:style w:type="paragraph" w:styleId="1275">
    <w:name w:val="一级条标题"/>
    <w:basedOn w:val="1276"/>
    <w:next w:val="1127"/>
    <w:link w:val="1127"/>
    <w:qFormat/>
    <w:pPr>
      <w:numPr>
        <w:ilvl w:val="1"/>
      </w:numPr>
      <w:ind w:left="0" w:hanging="840"/>
      <w:tabs>
        <w:tab w:val="left" w:pos="360" w:leader="none"/>
        <w:tab w:val="left" w:pos="840" w:leader="none"/>
      </w:tabs>
      <w:outlineLvl w:val="1"/>
    </w:pPr>
  </w:style>
  <w:style w:type="paragraph" w:styleId="1276">
    <w:name w:val="章标题"/>
    <w:next w:val="1127"/>
    <w:link w:val="112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77">
    <w:name w:val="xl29"/>
    <w:basedOn w:val="1127"/>
    <w:next w:val="1277"/>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name w:val="正文文本样式"/>
    <w:basedOn w:val="1127"/>
    <w:next w:val="1278"/>
    <w:link w:val="1127"/>
    <w:qFormat/>
    <w:pPr>
      <w:ind w:firstLine="482"/>
      <w:spacing w:line="360" w:lineRule="auto"/>
    </w:pPr>
    <w:rPr>
      <w:rFonts w:cs="宋体"/>
      <w:sz w:val="24"/>
      <w:szCs w:val="20"/>
    </w:rPr>
  </w:style>
  <w:style w:type="paragraph" w:styleId="1279">
    <w:name w:val="Char2 Char Char Char Char Char Char"/>
    <w:basedOn w:val="1127"/>
    <w:next w:val="1279"/>
    <w:link w:val="1127"/>
    <w:qFormat/>
    <w:pPr>
      <w:jc w:val="center"/>
      <w:spacing w:line="400" w:lineRule="exact"/>
      <w:widowControl/>
    </w:pPr>
  </w:style>
  <w:style w:type="paragraph" w:styleId="1280">
    <w:name w:val="Char Char1 Char Char Char Char Char Char Char Char"/>
    <w:basedOn w:val="1127"/>
    <w:next w:val="1280"/>
    <w:link w:val="1127"/>
    <w:qFormat/>
    <w:pPr>
      <w:jc w:val="left"/>
      <w:spacing w:after="160" w:line="240" w:lineRule="exact"/>
      <w:widowControl/>
    </w:pPr>
    <w:rPr>
      <w:rFonts w:ascii="Verdana" w:hAnsi="Verdana"/>
      <w:sz w:val="20"/>
      <w:szCs w:val="20"/>
      <w:lang w:eastAsia="en-US"/>
    </w:rPr>
  </w:style>
  <w:style w:type="paragraph" w:styleId="1281">
    <w:name w:val="正文列项_数字"/>
    <w:basedOn w:val="1127"/>
    <w:next w:val="1281"/>
    <w:link w:val="1127"/>
    <w:qFormat/>
    <w:pPr>
      <w:numPr>
        <w:ilvl w:val="7"/>
        <w:numId w:val="1"/>
      </w:numPr>
      <w:ind w:left="680" w:hanging="150"/>
      <w:spacing w:line="460" w:lineRule="exact"/>
      <w:tabs>
        <w:tab w:val="clear" w:pos="860" w:leader="none"/>
      </w:tabs>
      <w:outlineLvl w:val="7"/>
    </w:pPr>
    <w:rPr>
      <w:rFonts w:ascii="宋体"/>
      <w:sz w:val="28"/>
      <w:szCs w:val="20"/>
    </w:rPr>
  </w:style>
  <w:style w:type="paragraph" w:styleId="1282">
    <w:name w:val="表格1"/>
    <w:basedOn w:val="1127"/>
    <w:next w:val="1282"/>
    <w:link w:val="1127"/>
    <w:qFormat/>
    <w:pPr>
      <w:ind w:firstLine="480"/>
      <w:jc w:val="center"/>
    </w:pPr>
    <w:rPr>
      <w:sz w:val="24"/>
      <w:szCs w:val="20"/>
    </w:rPr>
  </w:style>
  <w:style w:type="paragraph" w:styleId="1283">
    <w:name w:val="纯文本1"/>
    <w:next w:val="1184"/>
    <w:link w:val="1127"/>
    <w:qFormat/>
    <w:pPr>
      <w:jc w:val="both"/>
      <w:widowControl w:val="off"/>
    </w:pPr>
    <w:rPr>
      <w:rFonts w:ascii="宋体" w:hAnsi="宋体" w:eastAsia="宋体" w:cs="Times New Roman"/>
      <w:sz w:val="26"/>
      <w:lang w:val="en-US" w:eastAsia="zh-CN" w:bidi="ar-SA"/>
    </w:rPr>
  </w:style>
  <w:style w:type="paragraph" w:styleId="1284">
    <w:name w:val="xl23"/>
    <w:basedOn w:val="1127"/>
    <w:next w:val="1284"/>
    <w:link w:val="1127"/>
    <w:qFormat/>
    <w:pPr>
      <w:spacing w:before="100" w:beforeAutospacing="1" w:after="100" w:afterAutospacing="1" w:line="360" w:lineRule="auto"/>
      <w:widowControl/>
    </w:pPr>
    <w:rPr>
      <w:sz w:val="24"/>
      <w:szCs w:val="20"/>
    </w:rPr>
  </w:style>
  <w:style w:type="paragraph" w:styleId="1285">
    <w:name w:val="项目符号1"/>
    <w:basedOn w:val="1278"/>
    <w:next w:val="1285"/>
    <w:link w:val="1127"/>
    <w:qFormat/>
    <w:pPr>
      <w:ind w:left="-25" w:firstLine="0"/>
    </w:pPr>
  </w:style>
  <w:style w:type="paragraph" w:styleId="1286">
    <w:name w:val="正文 + 宋体"/>
    <w:basedOn w:val="1127"/>
    <w:next w:val="1286"/>
    <w:link w:val="1127"/>
    <w:qFormat/>
    <w:pPr>
      <w:ind w:left="360" w:hanging="360"/>
      <w:jc w:val="left"/>
      <w:widowControl/>
    </w:pPr>
    <w:rPr>
      <w:rFonts w:ascii="宋体" w:hAnsi="宋体" w:cs="宋体"/>
      <w:b/>
      <w:bCs/>
      <w:color w:val="000000"/>
      <w:sz w:val="18"/>
      <w:szCs w:val="18"/>
    </w:rPr>
  </w:style>
  <w:style w:type="paragraph" w:styleId="1287">
    <w:name w:val="xl52"/>
    <w:basedOn w:val="1127"/>
    <w:next w:val="1287"/>
    <w:link w:val="11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8">
    <w:name w:val="图文"/>
    <w:basedOn w:val="1127"/>
    <w:next w:val="1288"/>
    <w:link w:val="1127"/>
    <w:qFormat/>
    <w:pPr>
      <w:spacing w:after="50" w:line="360" w:lineRule="auto"/>
    </w:pPr>
    <w:rPr>
      <w:sz w:val="24"/>
    </w:rPr>
  </w:style>
  <w:style w:type="paragraph" w:styleId="1289">
    <w:name w:val="xl47"/>
    <w:basedOn w:val="1127"/>
    <w:next w:val="1289"/>
    <w:link w:val="112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0">
    <w:name w:val="项目编号1"/>
    <w:basedOn w:val="1127"/>
    <w:next w:val="1290"/>
    <w:link w:val="1127"/>
    <w:qFormat/>
    <w:pPr>
      <w:numPr>
        <w:ilvl w:val="0"/>
        <w:numId w:val="3"/>
      </w:numPr>
      <w:spacing w:before="100" w:beforeAutospacing="1" w:after="100" w:afterAutospacing="1" w:line="360" w:lineRule="auto"/>
    </w:pPr>
    <w:rPr>
      <w:sz w:val="24"/>
    </w:rPr>
  </w:style>
  <w:style w:type="paragraph" w:styleId="1291">
    <w:name w:val="三级条标题"/>
    <w:basedOn w:val="1274"/>
    <w:next w:val="1127"/>
    <w:link w:val="1127"/>
    <w:qFormat/>
    <w:pPr>
      <w:numPr>
        <w:ilvl w:val="3"/>
        <w:numId w:val="1"/>
      </w:numPr>
      <w:ind w:left="0" w:hanging="840"/>
      <w:tabs>
        <w:tab w:val="left" w:pos="360" w:leader="none"/>
        <w:tab w:val="left" w:pos="840" w:leader="none"/>
      </w:tabs>
      <w:outlineLvl w:val="3"/>
    </w:pPr>
  </w:style>
  <w:style w:type="paragraph" w:styleId="1292">
    <w:name w:val="正文 A"/>
    <w:next w:val="1292"/>
    <w:link w:val="1127"/>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93">
    <w:name w:val="字元 字元1"/>
    <w:basedOn w:val="1127"/>
    <w:next w:val="1293"/>
    <w:link w:val="1127"/>
    <w:qFormat/>
    <w:rPr>
      <w:rFonts w:ascii="Tahoma" w:hAnsi="Tahoma"/>
      <w:sz w:val="24"/>
      <w:szCs w:val="20"/>
    </w:rPr>
  </w:style>
  <w:style w:type="paragraph" w:styleId="1294">
    <w:name w:val="Char3"/>
    <w:basedOn w:val="1127"/>
    <w:next w:val="1294"/>
    <w:link w:val="1127"/>
    <w:qFormat/>
    <w:pPr>
      <w:tabs>
        <w:tab w:val="left" w:pos="360" w:leader="none"/>
      </w:tabs>
    </w:pPr>
    <w:rPr>
      <w:sz w:val="24"/>
    </w:rPr>
  </w:style>
  <w:style w:type="paragraph" w:styleId="1295">
    <w:name w:val="xl43"/>
    <w:basedOn w:val="1127"/>
    <w:next w:val="1295"/>
    <w:link w:val="112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6">
    <w:name w:val="xl50"/>
    <w:basedOn w:val="1127"/>
    <w:next w:val="1296"/>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Table Paragraph"/>
    <w:basedOn w:val="1127"/>
    <w:next w:val="1297"/>
    <w:link w:val="1127"/>
    <w:uiPriority w:val="1"/>
    <w:qFormat/>
    <w:pPr>
      <w:jc w:val="left"/>
    </w:pPr>
    <w:rPr>
      <w:rFonts w:ascii="宋体" w:hAnsi="宋体" w:cs="宋体"/>
      <w:sz w:val="22"/>
      <w:szCs w:val="22"/>
      <w:lang w:eastAsia="en-US"/>
    </w:rPr>
  </w:style>
  <w:style w:type="paragraph" w:styleId="1298">
    <w:name w:val="Char Char1"/>
    <w:basedOn w:val="1157"/>
    <w:next w:val="1298"/>
    <w:link w:val="1127"/>
    <w:qFormat/>
    <w:rPr>
      <w:rFonts w:ascii="Tahoma" w:hAnsi="Tahoma"/>
      <w:sz w:val="24"/>
    </w:rPr>
  </w:style>
  <w:style w:type="paragraph" w:styleId="1299">
    <w:name w:val="xl27"/>
    <w:basedOn w:val="1127"/>
    <w:next w:val="1299"/>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0">
    <w:name w:val="Char22"/>
    <w:basedOn w:val="1127"/>
    <w:next w:val="1300"/>
    <w:link w:val="1127"/>
    <w:qFormat/>
    <w:rPr>
      <w:rFonts w:ascii="Tahoma" w:hAnsi="Tahoma"/>
      <w:sz w:val="24"/>
      <w:szCs w:val="20"/>
    </w:rPr>
  </w:style>
  <w:style w:type="paragraph" w:styleId="1301">
    <w:name w:val="font9"/>
    <w:basedOn w:val="1127"/>
    <w:next w:val="1301"/>
    <w:link w:val="1127"/>
    <w:qFormat/>
    <w:pPr>
      <w:jc w:val="left"/>
      <w:spacing w:before="100" w:beforeAutospacing="1" w:after="100" w:afterAutospacing="1"/>
      <w:widowControl/>
    </w:pPr>
    <w:rPr>
      <w:rFonts w:hint="eastAsia" w:ascii="宋体" w:hAnsi="宋体" w:cs="Arial Unicode MS"/>
      <w:color w:val="000000"/>
      <w:sz w:val="20"/>
      <w:szCs w:val="20"/>
    </w:rPr>
  </w:style>
  <w:style w:type="paragraph" w:styleId="1302">
    <w:name w:val="xl25"/>
    <w:basedOn w:val="1127"/>
    <w:next w:val="1302"/>
    <w:link w:val="11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Char2 Char Char Char Char Char Char1"/>
    <w:basedOn w:val="1127"/>
    <w:next w:val="1303"/>
    <w:link w:val="1127"/>
    <w:qFormat/>
    <w:pPr>
      <w:jc w:val="center"/>
      <w:spacing w:line="400" w:lineRule="exact"/>
      <w:widowControl/>
    </w:pPr>
  </w:style>
  <w:style w:type="paragraph" w:styleId="1304">
    <w:name w:val="Char Char Char Char Char Char Char Char Char Char1"/>
    <w:basedOn w:val="1127"/>
    <w:next w:val="1304"/>
    <w:link w:val="1127"/>
    <w:qFormat/>
    <w:rPr>
      <w:rFonts w:ascii="宋体" w:hAnsi="宋体" w:cs="Courier New"/>
      <w:sz w:val="32"/>
      <w:szCs w:val="32"/>
    </w:rPr>
  </w:style>
  <w:style w:type="paragraph" w:styleId="1305">
    <w:name w:val="Char Char Char1 Char"/>
    <w:basedOn w:val="1127"/>
    <w:next w:val="1305"/>
    <w:link w:val="1127"/>
    <w:qFormat/>
    <w:rPr>
      <w:rFonts w:ascii="Tahoma" w:hAnsi="Tahoma"/>
      <w:sz w:val="24"/>
      <w:szCs w:val="20"/>
    </w:rPr>
  </w:style>
  <w:style w:type="paragraph" w:styleId="1306">
    <w:name w:val="正文文本样式 加粗"/>
    <w:basedOn w:val="1278"/>
    <w:next w:val="1306"/>
    <w:link w:val="1127"/>
    <w:qFormat/>
    <w:rPr>
      <w:b/>
    </w:rPr>
  </w:style>
  <w:style w:type="paragraph" w:styleId="1307">
    <w:name w:val="xl33"/>
    <w:basedOn w:val="1127"/>
    <w:next w:val="1307"/>
    <w:link w:val="11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8">
    <w:name w:val="xl39"/>
    <w:basedOn w:val="1127"/>
    <w:next w:val="1308"/>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9">
    <w:name w:val="xl26"/>
    <w:basedOn w:val="1127"/>
    <w:next w:val="1309"/>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0">
    <w:name w:val="xl53"/>
    <w:basedOn w:val="1127"/>
    <w:next w:val="1310"/>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name w:val="font8"/>
    <w:basedOn w:val="1127"/>
    <w:next w:val="1311"/>
    <w:link w:val="1127"/>
    <w:qFormat/>
    <w:pPr>
      <w:jc w:val="left"/>
      <w:spacing w:before="100" w:beforeAutospacing="1" w:after="100" w:afterAutospacing="1"/>
      <w:widowControl/>
    </w:pPr>
    <w:rPr>
      <w:sz w:val="36"/>
      <w:szCs w:val="36"/>
    </w:rPr>
  </w:style>
  <w:style w:type="paragraph" w:styleId="1312">
    <w:name w:val="xl38"/>
    <w:basedOn w:val="1127"/>
    <w:next w:val="1312"/>
    <w:link w:val="11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3">
    <w:name w:val="Char Char1 Char Char Char Char Char Char"/>
    <w:basedOn w:val="1127"/>
    <w:next w:val="1313"/>
    <w:link w:val="1127"/>
    <w:qFormat/>
    <w:pPr>
      <w:jc w:val="left"/>
      <w:spacing w:after="160" w:line="240" w:lineRule="exact"/>
      <w:widowControl/>
    </w:pPr>
    <w:rPr>
      <w:rFonts w:ascii="Verdana" w:hAnsi="Verdana" w:eastAsia="仿宋_GB2312"/>
      <w:sz w:val="24"/>
      <w:szCs w:val="20"/>
      <w:lang w:eastAsia="en-US"/>
    </w:rPr>
  </w:style>
  <w:style w:type="paragraph" w:styleId="1314">
    <w:name w:val="22222222222222"/>
    <w:basedOn w:val="1127"/>
    <w:next w:val="1314"/>
    <w:link w:val="1127"/>
    <w:qFormat/>
    <w:pPr>
      <w:ind w:firstLine="480"/>
      <w:jc w:val="left"/>
      <w:spacing w:line="360" w:lineRule="auto"/>
      <w:widowControl/>
    </w:pPr>
    <w:rPr>
      <w:color w:val="ff0000"/>
      <w:sz w:val="24"/>
      <w:szCs w:val="20"/>
    </w:rPr>
  </w:style>
  <w:style w:type="paragraph" w:styleId="1315">
    <w:name w:val="四级条标题"/>
    <w:basedOn w:val="1291"/>
    <w:next w:val="1127"/>
    <w:link w:val="1127"/>
    <w:qFormat/>
    <w:pPr>
      <w:numPr>
        <w:ilvl w:val="4"/>
      </w:numPr>
      <w:ind w:left="0" w:hanging="840"/>
      <w:tabs>
        <w:tab w:val="left" w:pos="360" w:leader="none"/>
        <w:tab w:val="left" w:pos="840" w:leader="none"/>
      </w:tabs>
      <w:outlineLvl w:val="4"/>
    </w:pPr>
  </w:style>
  <w:style w:type="paragraph" w:styleId="1316">
    <w:name w:val="项目编号2"/>
    <w:basedOn w:val="1290"/>
    <w:next w:val="1316"/>
    <w:link w:val="1127"/>
    <w:qFormat/>
    <w:pPr>
      <w:numPr>
        <w:numId w:val="4"/>
      </w:numPr>
    </w:pPr>
  </w:style>
  <w:style w:type="paragraph" w:styleId="1317">
    <w:name w:val="Char"/>
    <w:basedOn w:val="1127"/>
    <w:next w:val="1317"/>
    <w:link w:val="1127"/>
    <w:qFormat/>
    <w:pPr>
      <w:tabs>
        <w:tab w:val="left" w:pos="360" w:leader="none"/>
      </w:tabs>
    </w:pPr>
    <w:rPr>
      <w:sz w:val="24"/>
    </w:rPr>
  </w:style>
  <w:style w:type="paragraph" w:styleId="1318">
    <w:name w:val="Char Char Char1 Char2"/>
    <w:basedOn w:val="1127"/>
    <w:next w:val="1318"/>
    <w:link w:val="1127"/>
    <w:qFormat/>
    <w:rPr>
      <w:rFonts w:ascii="Tahoma" w:hAnsi="Tahoma"/>
      <w:sz w:val="24"/>
      <w:szCs w:val="20"/>
    </w:rPr>
  </w:style>
  <w:style w:type="paragraph" w:styleId="1319">
    <w:name w:val="Char1"/>
    <w:basedOn w:val="1127"/>
    <w:next w:val="1319"/>
    <w:link w:val="1127"/>
    <w:qFormat/>
    <w:pPr>
      <w:tabs>
        <w:tab w:val="left" w:pos="360" w:leader="none"/>
      </w:tabs>
    </w:pPr>
    <w:rPr>
      <w:sz w:val="24"/>
    </w:rPr>
  </w:style>
  <w:style w:type="paragraph" w:styleId="1320">
    <w:name w:val="Char Char Char Char Char Char Char"/>
    <w:basedOn w:val="1127"/>
    <w:next w:val="1320"/>
    <w:link w:val="1127"/>
    <w:qFormat/>
    <w:pPr>
      <w:ind w:firstLine="200"/>
      <w:spacing w:line="360" w:lineRule="auto"/>
    </w:pPr>
    <w:rPr>
      <w:rFonts w:eastAsia="仿宋_GB2312"/>
      <w:sz w:val="24"/>
    </w:rPr>
  </w:style>
  <w:style w:type="paragraph" w:styleId="1321">
    <w:name w:val="Char Char Char Char Char Char Char Char Char Char Char Char Char Char Char Char1"/>
    <w:basedOn w:val="1127"/>
    <w:next w:val="1321"/>
    <w:link w:val="1127"/>
    <w:qFormat/>
    <w:pPr>
      <w:jc w:val="center"/>
      <w:spacing w:after="160" w:line="240" w:lineRule="exact"/>
      <w:widowControl/>
    </w:pPr>
    <w:rPr>
      <w:rFonts w:ascii="宋体" w:hAnsi="宋体"/>
      <w:b/>
      <w:sz w:val="30"/>
      <w:szCs w:val="30"/>
      <w:lang w:eastAsia="en-US"/>
    </w:rPr>
  </w:style>
  <w:style w:type="paragraph" w:styleId="1322">
    <w:name w:val="Char Char Char2"/>
    <w:basedOn w:val="1127"/>
    <w:next w:val="1322"/>
    <w:link w:val="1127"/>
    <w:qFormat/>
    <w:rPr>
      <w:rFonts w:ascii="Tahoma" w:hAnsi="Tahoma"/>
      <w:sz w:val="24"/>
      <w:szCs w:val="20"/>
    </w:rPr>
  </w:style>
  <w:style w:type="paragraph" w:styleId="1323">
    <w:name w:val="xl49"/>
    <w:basedOn w:val="1127"/>
    <w:next w:val="1323"/>
    <w:link w:val="11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4">
    <w:name w:val="xl34"/>
    <w:basedOn w:val="1127"/>
    <w:next w:val="1324"/>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5">
    <w:name w:val="样式2"/>
    <w:basedOn w:val="1194"/>
    <w:next w:val="1325"/>
    <w:link w:val="1127"/>
    <w:qFormat/>
    <w:pPr>
      <w:jc w:val="center"/>
      <w:spacing w:line="360" w:lineRule="auto"/>
    </w:pPr>
    <w:rPr>
      <w:sz w:val="24"/>
    </w:rPr>
  </w:style>
  <w:style w:type="paragraph" w:styleId="1326">
    <w:name w:val="正文须知-1级"/>
    <w:basedOn w:val="1127"/>
    <w:next w:val="1127"/>
    <w:link w:val="1127"/>
    <w:qFormat/>
    <w:pPr>
      <w:numPr>
        <w:ilvl w:val="0"/>
        <w:numId w:val="2"/>
      </w:numPr>
      <w:spacing w:line="300" w:lineRule="auto"/>
    </w:pPr>
    <w:rPr>
      <w:rFonts w:ascii="宋体" w:hAnsi="Calibri"/>
      <w:sz w:val="24"/>
      <w:szCs w:val="21"/>
    </w:rPr>
  </w:style>
  <w:style w:type="paragraph" w:styleId="1327">
    <w:name w:val="xl41"/>
    <w:basedOn w:val="1127"/>
    <w:next w:val="1327"/>
    <w:link w:val="11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8">
    <w:name w:val="font7"/>
    <w:basedOn w:val="1127"/>
    <w:next w:val="1328"/>
    <w:link w:val="1127"/>
    <w:qFormat/>
    <w:pPr>
      <w:jc w:val="left"/>
      <w:spacing w:before="100" w:beforeAutospacing="1" w:after="100" w:afterAutospacing="1"/>
      <w:widowControl/>
    </w:pPr>
    <w:rPr>
      <w:rFonts w:eastAsia="Arial Unicode MS"/>
      <w:b/>
      <w:bCs/>
      <w:color w:val="000000"/>
      <w:sz w:val="20"/>
      <w:szCs w:val="20"/>
    </w:rPr>
  </w:style>
  <w:style w:type="paragraph" w:styleId="1329">
    <w:name w:val="无间隔"/>
    <w:next w:val="1329"/>
    <w:link w:val="1127"/>
    <w:qFormat/>
    <w:pPr>
      <w:jc w:val="both"/>
      <w:widowControl w:val="off"/>
    </w:pPr>
    <w:rPr>
      <w:sz w:val="21"/>
      <w:szCs w:val="24"/>
      <w:lang w:val="en-US" w:eastAsia="zh-CN" w:bidi="ar-SA"/>
    </w:rPr>
  </w:style>
  <w:style w:type="paragraph" w:styleId="1330">
    <w:name w:val="_Style 160"/>
    <w:next w:val="1330"/>
    <w:link w:val="1127"/>
    <w:qFormat/>
    <w:rPr>
      <w:sz w:val="21"/>
      <w:szCs w:val="24"/>
      <w:lang w:val="en-US" w:eastAsia="zh-CN" w:bidi="ar-SA"/>
    </w:rPr>
  </w:style>
  <w:style w:type="paragraph" w:styleId="1331">
    <w:name w:val="xl31"/>
    <w:basedOn w:val="1127"/>
    <w:next w:val="1331"/>
    <w:link w:val="11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2">
    <w:name w:val="Revision"/>
    <w:next w:val="1332"/>
    <w:link w:val="1127"/>
    <w:qFormat/>
    <w:rPr>
      <w:sz w:val="21"/>
      <w:szCs w:val="24"/>
      <w:lang w:val="en-US" w:eastAsia="zh-CN" w:bidi="ar-SA"/>
    </w:rPr>
  </w:style>
  <w:style w:type="paragraph" w:styleId="1333">
    <w:name w:val="xl46"/>
    <w:basedOn w:val="1127"/>
    <w:next w:val="1333"/>
    <w:link w:val="112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4">
    <w:name w:val="xl42"/>
    <w:basedOn w:val="1127"/>
    <w:next w:val="1334"/>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5">
    <w:name w:val="Char Char Char Char Char Char Char Char Char Char"/>
    <w:basedOn w:val="1127"/>
    <w:next w:val="1335"/>
    <w:link w:val="1127"/>
    <w:qFormat/>
  </w:style>
  <w:style w:type="paragraph" w:styleId="1336">
    <w:name w:val="xl35"/>
    <w:basedOn w:val="1127"/>
    <w:next w:val="1336"/>
    <w:link w:val="112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7">
    <w:name w:val="Char Char Char Char Char Char Char Char Char Char2"/>
    <w:basedOn w:val="1127"/>
    <w:next w:val="1337"/>
    <w:link w:val="1127"/>
    <w:qFormat/>
    <w:rPr>
      <w:rFonts w:ascii="宋体" w:hAnsi="宋体" w:cs="Courier New"/>
      <w:sz w:val="32"/>
      <w:szCs w:val="32"/>
    </w:rPr>
  </w:style>
  <w:style w:type="paragraph" w:styleId="1338">
    <w:name w:val="xl40"/>
    <w:basedOn w:val="1127"/>
    <w:next w:val="1338"/>
    <w:link w:val="11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name w:val="无标题条"/>
    <w:next w:val="1127"/>
    <w:link w:val="1127"/>
    <w:qFormat/>
    <w:pPr>
      <w:jc w:val="both"/>
    </w:pPr>
    <w:rPr>
      <w:sz w:val="21"/>
      <w:lang w:val="en-US" w:eastAsia="zh-CN" w:bidi="ar-SA"/>
    </w:rPr>
  </w:style>
  <w:style w:type="paragraph" w:styleId="1340">
    <w:name w:val="缺省文本"/>
    <w:basedOn w:val="1127"/>
    <w:next w:val="1340"/>
    <w:link w:val="1127"/>
    <w:qFormat/>
    <w:pPr>
      <w:jc w:val="left"/>
    </w:pPr>
    <w:rPr>
      <w:sz w:val="24"/>
    </w:rPr>
  </w:style>
  <w:style w:type="paragraph" w:styleId="1341">
    <w:name w:val="默认段落字体 Para Char Char Char Char"/>
    <w:basedOn w:val="1127"/>
    <w:next w:val="1341"/>
    <w:link w:val="1127"/>
    <w:qFormat/>
    <w:rPr>
      <w:rFonts w:ascii="Arial" w:hAnsi="Arial" w:cs="Arial"/>
      <w:szCs w:val="21"/>
    </w:rPr>
  </w:style>
  <w:style w:type="paragraph" w:styleId="1342">
    <w:name w:val="列出段落2"/>
    <w:basedOn w:val="1127"/>
    <w:next w:val="1342"/>
    <w:link w:val="1127"/>
    <w:qFormat/>
    <w:pPr>
      <w:ind w:firstLine="420"/>
    </w:pPr>
    <w:rPr>
      <w:rFonts w:ascii="Calibri" w:hAnsi="Calibri"/>
      <w:szCs w:val="22"/>
    </w:rPr>
  </w:style>
  <w:style w:type="paragraph" w:styleId="1343">
    <w:name w:val="Char Char Char1"/>
    <w:basedOn w:val="1127"/>
    <w:next w:val="1343"/>
    <w:link w:val="1127"/>
    <w:qFormat/>
    <w:rPr>
      <w:rFonts w:ascii="Tahoma" w:hAnsi="Tahoma"/>
      <w:sz w:val="24"/>
      <w:szCs w:val="20"/>
    </w:rPr>
  </w:style>
  <w:style w:type="paragraph" w:styleId="1344">
    <w:name w:val="Char21"/>
    <w:basedOn w:val="1127"/>
    <w:next w:val="1344"/>
    <w:link w:val="1127"/>
    <w:qFormat/>
    <w:rPr>
      <w:rFonts w:ascii="Tahoma" w:hAnsi="Tahoma"/>
      <w:sz w:val="24"/>
      <w:szCs w:val="20"/>
    </w:rPr>
  </w:style>
  <w:style w:type="paragraph" w:styleId="1345">
    <w:name w:val="五级条标题"/>
    <w:basedOn w:val="1315"/>
    <w:next w:val="1127"/>
    <w:link w:val="1127"/>
    <w:qFormat/>
    <w:pPr>
      <w:numPr>
        <w:ilvl w:val="5"/>
      </w:numPr>
      <w:ind w:left="0" w:hanging="840"/>
      <w:tabs>
        <w:tab w:val="left" w:pos="360" w:leader="none"/>
        <w:tab w:val="left" w:pos="840" w:leader="none"/>
      </w:tabs>
      <w:outlineLvl w:val="5"/>
    </w:pPr>
  </w:style>
  <w:style w:type="paragraph" w:styleId="1346">
    <w:name w:val="正文 + 楷体_GB2312"/>
    <w:basedOn w:val="1127"/>
    <w:next w:val="1346"/>
    <w:link w:val="1127"/>
    <w:qFormat/>
    <w:pPr>
      <w:jc w:val="left"/>
      <w:widowControl/>
    </w:pPr>
    <w:rPr>
      <w:rFonts w:ascii="楷体_GB2312" w:eastAsia="楷体_GB2312" w:cs="Arial"/>
      <w:sz w:val="24"/>
    </w:rPr>
  </w:style>
  <w:style w:type="paragraph" w:styleId="1347">
    <w:name w:val="xl37"/>
    <w:basedOn w:val="1127"/>
    <w:next w:val="1347"/>
    <w:link w:val="112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8">
    <w:name w:val="xl32"/>
    <w:basedOn w:val="1127"/>
    <w:next w:val="1348"/>
    <w:link w:val="11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9">
    <w:name w:val="字元 字元2"/>
    <w:basedOn w:val="1127"/>
    <w:next w:val="1349"/>
    <w:link w:val="1127"/>
    <w:qFormat/>
    <w:rPr>
      <w:rFonts w:ascii="Tahoma" w:hAnsi="Tahoma"/>
      <w:sz w:val="24"/>
      <w:szCs w:val="20"/>
    </w:rPr>
  </w:style>
  <w:style w:type="paragraph" w:styleId="1350">
    <w:name w:val="样式 宋体 五号 行距: 单倍行距"/>
    <w:basedOn w:val="1127"/>
    <w:next w:val="1350"/>
    <w:link w:val="1127"/>
    <w:qFormat/>
    <w:pPr>
      <w:jc w:val="left"/>
    </w:pPr>
    <w:rPr>
      <w:rFonts w:ascii="宋体" w:hAnsi="宋体"/>
      <w:szCs w:val="20"/>
    </w:rPr>
  </w:style>
  <w:style w:type="paragraph" w:styleId="1351">
    <w:name w:val="列出段落1"/>
    <w:basedOn w:val="1215"/>
    <w:next w:val="1351"/>
    <w:link w:val="1127"/>
    <w:qFormat/>
    <w:pPr>
      <w:ind w:firstLine="420"/>
    </w:pPr>
    <w:rPr>
      <w:rFonts w:ascii="Calibri" w:hAnsi="Calibri"/>
      <w:szCs w:val="22"/>
    </w:rPr>
  </w:style>
  <w:style w:type="paragraph" w:styleId="1352">
    <w:name w:val="Char2"/>
    <w:basedOn w:val="1127"/>
    <w:next w:val="1352"/>
    <w:link w:val="1127"/>
    <w:qFormat/>
    <w:rPr>
      <w:rFonts w:ascii="Tahoma" w:hAnsi="Tahoma"/>
      <w:sz w:val="24"/>
      <w:szCs w:val="20"/>
    </w:rPr>
  </w:style>
  <w:style w:type="paragraph" w:styleId="1353">
    <w:name w:val="字元 字元"/>
    <w:basedOn w:val="1127"/>
    <w:next w:val="1353"/>
    <w:link w:val="1127"/>
    <w:qFormat/>
    <w:rPr>
      <w:rFonts w:ascii="Tahoma" w:hAnsi="Tahoma"/>
      <w:sz w:val="24"/>
      <w:szCs w:val="20"/>
    </w:rPr>
  </w:style>
  <w:style w:type="paragraph" w:styleId="1354">
    <w:name w:val="文档正文"/>
    <w:basedOn w:val="1127"/>
    <w:next w:val="1354"/>
    <w:link w:val="1127"/>
    <w:qFormat/>
    <w:pPr>
      <w:spacing w:before="120" w:after="120" w:line="180" w:lineRule="auto"/>
    </w:pPr>
    <w:rPr>
      <w:rFonts w:ascii="Arial" w:hAnsi="Arial"/>
      <w:szCs w:val="20"/>
    </w:rPr>
  </w:style>
  <w:style w:type="paragraph" w:styleId="1355">
    <w:name w:val="正文缩进2"/>
    <w:basedOn w:val="1127"/>
    <w:next w:val="1355"/>
    <w:link w:val="1127"/>
    <w:qFormat/>
    <w:pPr>
      <w:ind w:firstLine="567"/>
      <w:spacing w:line="480" w:lineRule="exact"/>
      <w:widowControl/>
    </w:pPr>
    <w:rPr>
      <w:rFonts w:ascii="宋体"/>
      <w:color w:val="000000"/>
      <w:sz w:val="28"/>
      <w:szCs w:val="20"/>
      <w:lang w:val="zh-CN" w:eastAsia="zh-CN"/>
    </w:rPr>
  </w:style>
  <w:style w:type="paragraph" w:styleId="1356">
    <w:name w:val="Char3 Char Char Char1"/>
    <w:basedOn w:val="1127"/>
    <w:next w:val="1356"/>
    <w:link w:val="1127"/>
    <w:qFormat/>
    <w:rPr>
      <w:rFonts w:ascii="Tahoma" w:hAnsi="Tahoma"/>
      <w:sz w:val="24"/>
      <w:szCs w:val="20"/>
    </w:rPr>
  </w:style>
  <w:style w:type="paragraph" w:styleId="1357">
    <w:name w:val="Char Char Char Char Char Char Char Char Char Char Char Char Char Char Char Char"/>
    <w:basedOn w:val="1127"/>
    <w:next w:val="1357"/>
    <w:link w:val="1127"/>
    <w:qFormat/>
    <w:pPr>
      <w:jc w:val="center"/>
      <w:spacing w:after="160" w:line="240" w:lineRule="exact"/>
      <w:widowControl/>
    </w:pPr>
    <w:rPr>
      <w:rFonts w:ascii="宋体" w:hAnsi="宋体"/>
      <w:b/>
      <w:sz w:val="30"/>
      <w:szCs w:val="30"/>
      <w:lang w:eastAsia="en-US"/>
    </w:rPr>
  </w:style>
  <w:style w:type="paragraph" w:styleId="1358">
    <w:name w:val="图例"/>
    <w:basedOn w:val="1127"/>
    <w:next w:val="1358"/>
    <w:link w:val="1127"/>
    <w:qFormat/>
    <w:pPr>
      <w:jc w:val="center"/>
      <w:spacing w:before="120" w:after="120" w:line="360" w:lineRule="auto"/>
    </w:pPr>
    <w:rPr>
      <w:rFonts w:eastAsia="仿宋_GB2312"/>
      <w:b/>
      <w:sz w:val="24"/>
      <w:szCs w:val="20"/>
    </w:rPr>
  </w:style>
  <w:style w:type="paragraph" w:styleId="1359">
    <w:name w:val="xl24"/>
    <w:basedOn w:val="1127"/>
    <w:next w:val="1359"/>
    <w:link w:val="11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0">
    <w:name w:val="font6"/>
    <w:basedOn w:val="1127"/>
    <w:next w:val="1360"/>
    <w:link w:val="1127"/>
    <w:qFormat/>
    <w:pPr>
      <w:jc w:val="left"/>
      <w:spacing w:before="100" w:beforeAutospacing="1" w:after="100" w:afterAutospacing="1"/>
      <w:widowControl/>
    </w:pPr>
    <w:rPr>
      <w:rFonts w:ascii="宋体" w:hAnsi="宋体" w:cs="宋体"/>
      <w:sz w:val="20"/>
      <w:szCs w:val="20"/>
    </w:rPr>
  </w:style>
  <w:style w:type="paragraph" w:styleId="1361">
    <w:name w:val="项目编号3"/>
    <w:basedOn w:val="1278"/>
    <w:next w:val="1361"/>
    <w:link w:val="1127"/>
    <w:qFormat/>
    <w:pPr>
      <w:numPr>
        <w:ilvl w:val="0"/>
        <w:numId w:val="5"/>
      </w:numPr>
    </w:pPr>
  </w:style>
  <w:style w:type="paragraph" w:styleId="1362">
    <w:name w:val="样式 标题 2 + 宋体 五号 行距: 单倍行距"/>
    <w:basedOn w:val="1129"/>
    <w:next w:val="1362"/>
    <w:link w:val="1127"/>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363">
    <w:name w:val="Char Char Char1 Char1"/>
    <w:basedOn w:val="1127"/>
    <w:next w:val="1363"/>
    <w:link w:val="1127"/>
    <w:qFormat/>
    <w:rPr>
      <w:rFonts w:ascii="Tahoma" w:hAnsi="Tahoma"/>
      <w:sz w:val="24"/>
      <w:szCs w:val="20"/>
    </w:rPr>
  </w:style>
  <w:style w:type="paragraph" w:styleId="1364">
    <w:name w:val="1名"/>
    <w:basedOn w:val="1127"/>
    <w:next w:val="1364"/>
    <w:link w:val="1127"/>
    <w:qFormat/>
    <w:pPr>
      <w:numPr>
        <w:ilvl w:val="0"/>
        <w:numId w:val="7"/>
      </w:numPr>
      <w:spacing w:before="120"/>
      <w:tabs>
        <w:tab w:val="left" w:pos="360" w:leader="none"/>
      </w:tabs>
    </w:pPr>
    <w:rPr>
      <w:rFonts w:ascii="宋体"/>
      <w:sz w:val="28"/>
      <w:szCs w:val="20"/>
    </w:rPr>
  </w:style>
  <w:style w:type="paragraph" w:styleId="1365">
    <w:name w:val="Default_0"/>
    <w:basedOn w:val="1127"/>
    <w:next w:val="1365"/>
    <w:link w:val="1127"/>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366">
    <w:name w:val="background1"/>
    <w:basedOn w:val="1127"/>
    <w:next w:val="1366"/>
    <w:link w:val="1127"/>
    <w:qFormat/>
    <w:pPr>
      <w:jc w:val="left"/>
      <w:spacing w:before="100" w:beforeAutospacing="1" w:after="100" w:afterAutospacing="1"/>
      <w:widowControl/>
    </w:pPr>
    <w:rPr>
      <w:rFonts w:ascii="宋体" w:hAnsi="宋体" w:cs="宋体"/>
      <w:sz w:val="24"/>
    </w:rPr>
  </w:style>
  <w:style w:type="paragraph" w:styleId="1367">
    <w:name w:val="Char Char Char Char Char Char Char2"/>
    <w:basedOn w:val="1127"/>
    <w:next w:val="1367"/>
    <w:link w:val="1127"/>
    <w:qFormat/>
    <w:pPr>
      <w:ind w:firstLine="200"/>
      <w:spacing w:line="360" w:lineRule="auto"/>
    </w:pPr>
    <w:rPr>
      <w:rFonts w:eastAsia="仿宋_GB2312"/>
      <w:sz w:val="24"/>
    </w:rPr>
  </w:style>
  <w:style w:type="paragraph" w:styleId="1368">
    <w:name w:val="Char3 Char Char Char"/>
    <w:basedOn w:val="1127"/>
    <w:next w:val="1368"/>
    <w:link w:val="1127"/>
    <w:qFormat/>
    <w:rPr>
      <w:rFonts w:ascii="Tahoma" w:hAnsi="Tahoma"/>
      <w:sz w:val="24"/>
      <w:szCs w:val="20"/>
    </w:rPr>
  </w:style>
  <w:style w:type="paragraph" w:styleId="1369">
    <w:name w:val="xl45"/>
    <w:basedOn w:val="1127"/>
    <w:next w:val="1369"/>
    <w:link w:val="112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0">
    <w:name w:val="List Paragraph1"/>
    <w:basedOn w:val="1127"/>
    <w:next w:val="1370"/>
    <w:link w:val="1127"/>
    <w:qFormat/>
    <w:pPr>
      <w:ind w:firstLine="420"/>
    </w:pPr>
    <w:rPr>
      <w:rFonts w:ascii="Calibri" w:hAnsi="Calibri"/>
      <w:szCs w:val="22"/>
    </w:rPr>
  </w:style>
  <w:style w:type="paragraph" w:styleId="1371">
    <w:name w:val="xl44"/>
    <w:basedOn w:val="1127"/>
    <w:next w:val="1371"/>
    <w:link w:val="112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2">
    <w:name w:val="xl51"/>
    <w:basedOn w:val="1127"/>
    <w:next w:val="1372"/>
    <w:link w:val="11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3">
    <w:name w:val="??"/>
    <w:next w:val="1373"/>
    <w:link w:val="1127"/>
    <w:qFormat/>
    <w:pPr>
      <w:jc w:val="both"/>
      <w:widowControl w:val="off"/>
    </w:pPr>
    <w:rPr>
      <w:sz w:val="21"/>
      <w:lang w:val="en-US" w:eastAsia="en-US" w:bidi="ar-SA"/>
    </w:rPr>
  </w:style>
  <w:style w:type="paragraph" w:styleId="1374">
    <w:name w:val="Char3 Char Char Char2"/>
    <w:basedOn w:val="1127"/>
    <w:next w:val="1374"/>
    <w:link w:val="1127"/>
    <w:qFormat/>
    <w:rPr>
      <w:rFonts w:ascii="Tahoma" w:hAnsi="Tahoma"/>
      <w:sz w:val="24"/>
      <w:szCs w:val="20"/>
    </w:rPr>
  </w:style>
  <w:style w:type="paragraph" w:styleId="1375">
    <w:name w:val="xl48"/>
    <w:basedOn w:val="1127"/>
    <w:next w:val="1375"/>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6">
    <w:name w:val="xl28"/>
    <w:basedOn w:val="1127"/>
    <w:next w:val="1376"/>
    <w:link w:val="11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name w:val="正文须知-3级"/>
    <w:basedOn w:val="1127"/>
    <w:next w:val="1377"/>
    <w:link w:val="1127"/>
    <w:qFormat/>
    <w:pPr>
      <w:numPr>
        <w:ilvl w:val="2"/>
        <w:numId w:val="2"/>
      </w:numPr>
      <w:ind w:hanging="355"/>
      <w:spacing w:line="300" w:lineRule="auto"/>
    </w:pPr>
    <w:rPr>
      <w:rFonts w:ascii="宋体" w:hAnsi="Calibri"/>
      <w:sz w:val="24"/>
      <w:szCs w:val="21"/>
    </w:rPr>
  </w:style>
  <w:style w:type="paragraph" w:styleId="1378">
    <w:name w:val="Char Char1 Char Char Char Char Char Char1"/>
    <w:basedOn w:val="1127"/>
    <w:next w:val="1378"/>
    <w:link w:val="1127"/>
    <w:qFormat/>
    <w:pPr>
      <w:jc w:val="left"/>
      <w:spacing w:after="160" w:line="240" w:lineRule="exact"/>
      <w:widowControl/>
    </w:pPr>
    <w:rPr>
      <w:rFonts w:ascii="Verdana" w:hAnsi="Verdana" w:eastAsia="仿宋_GB2312"/>
      <w:sz w:val="24"/>
      <w:szCs w:val="20"/>
      <w:lang w:eastAsia="en-US"/>
    </w:rPr>
  </w:style>
  <w:style w:type="paragraph" w:styleId="1379">
    <w:name w:val="Char Char Char Char Char Char Char1"/>
    <w:basedOn w:val="1127"/>
    <w:next w:val="1379"/>
    <w:link w:val="1127"/>
    <w:qFormat/>
    <w:pPr>
      <w:ind w:firstLine="200"/>
      <w:spacing w:line="360" w:lineRule="auto"/>
    </w:pPr>
    <w:rPr>
      <w:rFonts w:eastAsia="仿宋_GB2312"/>
      <w:sz w:val="24"/>
    </w:rPr>
  </w:style>
  <w:style w:type="paragraph" w:styleId="1380">
    <w:name w:val="Char Char41"/>
    <w:basedOn w:val="1127"/>
    <w:next w:val="1380"/>
    <w:link w:val="1127"/>
    <w:qFormat/>
    <w:pPr>
      <w:jc w:val="center"/>
      <w:spacing w:line="400" w:lineRule="exact"/>
      <w:widowControl/>
    </w:pPr>
  </w:style>
  <w:style w:type="paragraph" w:styleId="1381">
    <w:name w:val="Char Char4"/>
    <w:basedOn w:val="1127"/>
    <w:next w:val="1381"/>
    <w:link w:val="1127"/>
    <w:qFormat/>
    <w:pPr>
      <w:jc w:val="center"/>
      <w:spacing w:line="400" w:lineRule="exact"/>
      <w:widowControl/>
    </w:pPr>
  </w:style>
  <w:style w:type="paragraph" w:styleId="1382">
    <w:name w:val="一、"/>
    <w:basedOn w:val="1127"/>
    <w:next w:val="1382"/>
    <w:link w:val="1127"/>
    <w:qFormat/>
    <w:pPr>
      <w:ind w:firstLine="640"/>
    </w:pPr>
    <w:rPr>
      <w:rFonts w:ascii="黑体" w:hAnsi="黑体" w:eastAsia="黑体"/>
      <w:szCs w:val="32"/>
    </w:rPr>
  </w:style>
  <w:style w:type="paragraph" w:styleId="1383">
    <w:name w:val="标题1-附件"/>
    <w:basedOn w:val="1128"/>
    <w:next w:val="1383"/>
    <w:link w:val="1127"/>
    <w:qFormat/>
    <w:pPr>
      <w:jc w:val="left"/>
    </w:pPr>
    <w:rPr>
      <w:sz w:val="24"/>
      <w:szCs w:val="24"/>
    </w:rPr>
  </w:style>
  <w:style w:type="paragraph" w:styleId="1384">
    <w:name w:val="表格文字"/>
    <w:basedOn w:val="1144"/>
    <w:next w:val="1384"/>
    <w:link w:val="1127"/>
    <w:qFormat/>
    <w:pPr>
      <w:ind w:firstLine="0"/>
      <w:spacing w:before="20" w:after="20" w:line="240" w:lineRule="auto"/>
    </w:pPr>
    <w:rPr>
      <w:rFonts w:ascii="Century Gothic" w:hAnsi="Century Gothic"/>
      <w:sz w:val="20"/>
      <w:szCs w:val="20"/>
    </w:rPr>
  </w:style>
  <w:style w:type="paragraph" w:styleId="1385">
    <w:name w:val="正文_2"/>
    <w:next w:val="1385"/>
    <w:link w:val="1127"/>
    <w:qFormat/>
    <w:pPr>
      <w:jc w:val="both"/>
      <w:widowControl w:val="off"/>
    </w:pPr>
    <w:rPr>
      <w:rFonts w:ascii="Calibri" w:hAnsi="Calibri" w:eastAsia="宋体" w:cs="Times New Roman"/>
      <w:sz w:val="21"/>
      <w:szCs w:val="22"/>
      <w:lang w:val="en-US" w:eastAsia="zh-CN" w:bidi="ar-SA"/>
    </w:rPr>
  </w:style>
  <w:style w:type="paragraph" w:styleId="1386">
    <w:name w:val="Char Char Char"/>
    <w:basedOn w:val="1127"/>
    <w:next w:val="1386"/>
    <w:link w:val="1127"/>
    <w:qFormat/>
    <w:rPr>
      <w:rFonts w:ascii="Tahoma" w:hAnsi="Tahoma"/>
      <w:sz w:val="24"/>
      <w:szCs w:val="20"/>
    </w:rPr>
  </w:style>
  <w:style w:type="paragraph" w:styleId="1387">
    <w:name w:val="default"/>
    <w:basedOn w:val="1127"/>
    <w:next w:val="1387"/>
    <w:link w:val="1127"/>
    <w:qFormat/>
    <w:pPr>
      <w:jc w:val="left"/>
      <w:spacing w:before="100" w:beforeAutospacing="1" w:after="100" w:afterAutospacing="1"/>
      <w:widowControl/>
    </w:pPr>
    <w:rPr>
      <w:rFonts w:ascii="宋体" w:hAnsi="宋体" w:cs="宋体"/>
      <w:sz w:val="24"/>
    </w:rPr>
  </w:style>
  <w:style w:type="paragraph" w:styleId="1388">
    <w:name w:val="List Paragraph"/>
    <w:basedOn w:val="1127"/>
    <w:next w:val="1388"/>
    <w:link w:val="1127"/>
    <w:qFormat/>
    <w:pPr>
      <w:ind w:firstLine="420"/>
    </w:pPr>
    <w:rPr>
      <w:rFonts w:ascii="Calibri" w:hAnsi="Calibri" w:cs="黑体"/>
      <w:szCs w:val="22"/>
    </w:rPr>
  </w:style>
  <w:style w:type="paragraph" w:styleId="1389">
    <w:name w:val="正文文本缩进2"/>
    <w:basedOn w:val="1127"/>
    <w:next w:val="1389"/>
    <w:link w:val="1127"/>
    <w:qFormat/>
    <w:pPr>
      <w:ind w:firstLine="480"/>
      <w:spacing w:line="480" w:lineRule="exact"/>
    </w:pPr>
    <w:rPr>
      <w:rFonts w:ascii="宋体" w:hAnsi="宋体"/>
      <w:sz w:val="24"/>
      <w:lang w:val="zh-CN" w:eastAsia="zh-CN"/>
    </w:rPr>
  </w:style>
  <w:style w:type="paragraph" w:styleId="1390">
    <w:name w:val="正文_1_0"/>
    <w:basedOn w:val="1127"/>
    <w:next w:val="1390"/>
    <w:link w:val="1127"/>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391">
    <w:name w:val="Table Normal"/>
    <w:next w:val="1391"/>
    <w:link w:val="1127"/>
    <w:uiPriority w:val="2"/>
    <w:semiHidden/>
    <w:qFormat/>
    <w:pPr>
      <w:widowControl w:val="off"/>
    </w:pPr>
    <w:rPr>
      <w:rFonts w:ascii="Calibri" w:hAnsi="Calibri"/>
      <w:sz w:val="22"/>
      <w:szCs w:val="22"/>
      <w:lang w:val="en-US" w:eastAsia="en-US" w:bidi="ar-SA"/>
    </w:rPr>
    <w:tblPr/>
  </w:style>
  <w:style w:type="paragraph" w:styleId="1392">
    <w:name w:val="null3"/>
    <w:next w:val="1392"/>
    <w:link w:val="1127"/>
    <w:qFormat/>
    <w:rPr>
      <w:rFonts w:hint="eastAsia" w:ascii="Calibri" w:hAnsi="Calibri" w:eastAsia="宋体" w:cs="Times New Roman"/>
      <w:lang w:val="en-US" w:eastAsia="zh-CN" w:bidi="ar-SA"/>
    </w:rPr>
  </w:style>
  <w:style w:type="paragraph" w:styleId="1393">
    <w:name w:val="申报正文"/>
    <w:basedOn w:val="1127"/>
    <w:next w:val="1393"/>
    <w:link w:val="1127"/>
    <w:qFormat/>
    <w:pPr>
      <w:ind w:left="170" w:hanging="170"/>
      <w:spacing w:line="360" w:lineRule="auto"/>
      <w:tabs>
        <w:tab w:val="left" w:pos="420" w:leader="none"/>
      </w:tabs>
    </w:pPr>
    <w:rPr>
      <w:rFonts w:eastAsia="仿宋_GB2312" w:cs="宋体"/>
      <w:sz w:val="28"/>
      <w:szCs w:val="20"/>
    </w:rPr>
  </w:style>
  <w:style w:type="paragraph" w:styleId="1394">
    <w:name w:val="Normal_0_2"/>
    <w:next w:val="1394"/>
    <w:link w:val="1127"/>
    <w:qFormat/>
    <w:rPr>
      <w:rFonts w:ascii="Times New Roman" w:hAnsi="Times New Roman" w:eastAsia="Times New Roman" w:cs="Times New Roman"/>
      <w:sz w:val="24"/>
      <w:szCs w:val="24"/>
      <w:lang w:val="en-US" w:eastAsia="zh-CN" w:bidi="ar-SA"/>
    </w:rPr>
  </w:style>
  <w:style w:type="paragraph" w:styleId="1395">
    <w:name w:val="页眉1"/>
    <w:basedOn w:val="1127"/>
    <w:next w:val="1395"/>
    <w:link w:val="1127"/>
    <w:qFormat/>
    <w:pPr>
      <w:jc w:val="center"/>
      <w:tabs>
        <w:tab w:val="center" w:pos="4153" w:leader="none"/>
        <w:tab w:val="right" w:pos="8306" w:leader="none"/>
      </w:tabs>
      <w:pBdr>
        <w:bottom w:val="single" w:color="000000" w:sz="6" w:space="1"/>
      </w:pBdr>
    </w:pPr>
    <w:rPr>
      <w:sz w:val="18"/>
      <w:szCs w:val="18"/>
    </w:rPr>
  </w:style>
  <w:style w:type="paragraph" w:styleId="1396">
    <w:name w:val="页脚1"/>
    <w:basedOn w:val="1127"/>
    <w:next w:val="1396"/>
    <w:link w:val="1127"/>
    <w:uiPriority w:val="99"/>
    <w:qFormat/>
    <w:pPr>
      <w:jc w:val="left"/>
      <w:tabs>
        <w:tab w:val="center" w:pos="4153" w:leader="none"/>
        <w:tab w:val="right" w:pos="8306" w:leader="none"/>
      </w:tabs>
    </w:pPr>
    <w:rPr>
      <w:rFonts w:ascii="宋体"/>
      <w:sz w:val="18"/>
      <w:szCs w:val="20"/>
    </w:rPr>
  </w:style>
  <w:style w:type="character" w:styleId="1397">
    <w:name w:val="页码1"/>
    <w:basedOn w:val="1211"/>
    <w:next w:val="1397"/>
    <w:link w:val="1127"/>
    <w:qFormat/>
    <w:rPr>
      <w:sz w:val="21"/>
      <w:szCs w:val="24"/>
      <w:lang w:val="en-US" w:eastAsia="zh-CN" w:bidi="ar-SA"/>
    </w:rPr>
  </w:style>
  <w:style w:type="character" w:styleId="1398" w:default="1">
    <w:name w:val="Default Paragraph Font"/>
    <w:uiPriority w:val="1"/>
    <w:semiHidden/>
    <w:unhideWhenUsed/>
  </w:style>
  <w:style w:type="numbering" w:styleId="1399" w:default="1">
    <w:name w:val="No List"/>
    <w:uiPriority w:val="99"/>
    <w:semiHidden/>
    <w:unhideWhenUsed/>
  </w:style>
  <w:style w:type="table" w:styleId="1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单馨莹</cp:lastModifiedBy>
  <cp:revision>7</cp:revision>
  <dcterms:created xsi:type="dcterms:W3CDTF">2022-05-30T08:03:00Z</dcterms:created>
  <dcterms:modified xsi:type="dcterms:W3CDTF">2026-07-29T03:29:16Z</dcterms:modified>
</cp:coreProperties>
</file>